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AF4CA" w14:textId="668CB433" w:rsidR="00194CA7" w:rsidRDefault="00321E09" w:rsidP="003601DE">
      <w:pPr>
        <w:rPr>
          <w:rFonts w:ascii="AvantGarde" w:hAnsi="AvantGarde"/>
          <w:b/>
          <w:sz w:val="36"/>
          <w:szCs w:val="36"/>
        </w:rPr>
      </w:pPr>
      <w:r w:rsidRPr="003601DE">
        <w:rPr>
          <w:rFonts w:ascii="AvantGarde" w:hAnsi="AvantGarde"/>
          <w:b/>
          <w:sz w:val="36"/>
          <w:szCs w:val="36"/>
        </w:rPr>
        <w:t>20</w:t>
      </w:r>
      <w:r w:rsidR="00467BD7">
        <w:rPr>
          <w:rFonts w:ascii="AvantGarde" w:hAnsi="AvantGarde"/>
          <w:b/>
          <w:sz w:val="36"/>
          <w:szCs w:val="36"/>
        </w:rPr>
        <w:t>1</w:t>
      </w:r>
      <w:r w:rsidR="007B05B9">
        <w:rPr>
          <w:rFonts w:ascii="AvantGarde" w:hAnsi="AvantGarde"/>
          <w:b/>
          <w:sz w:val="36"/>
          <w:szCs w:val="36"/>
        </w:rPr>
        <w:t xml:space="preserve">4 </w:t>
      </w:r>
      <w:r w:rsidRPr="003601DE">
        <w:rPr>
          <w:rFonts w:ascii="AvantGarde" w:hAnsi="AvantGarde"/>
          <w:b/>
          <w:sz w:val="36"/>
          <w:szCs w:val="36"/>
        </w:rPr>
        <w:t xml:space="preserve">Load Impact Evaluation of California Statewide Demand Bidding Programs (DBP) for Non-Residential Customers:  </w:t>
      </w:r>
    </w:p>
    <w:p w14:paraId="482DF007" w14:textId="2B43B66A" w:rsidR="00321E09" w:rsidRDefault="00933F01" w:rsidP="003601DE">
      <w:pPr>
        <w:rPr>
          <w:rFonts w:ascii="AvantGarde" w:hAnsi="AvantGarde"/>
          <w:b/>
          <w:sz w:val="36"/>
          <w:szCs w:val="36"/>
        </w:rPr>
      </w:pPr>
      <w:r w:rsidRPr="00933F01">
        <w:rPr>
          <w:rFonts w:ascii="AvantGarde" w:hAnsi="AvantGarde"/>
          <w:b/>
          <w:i/>
          <w:sz w:val="36"/>
          <w:szCs w:val="36"/>
        </w:rPr>
        <w:t>Ex-post</w:t>
      </w:r>
      <w:r w:rsidR="00981153">
        <w:rPr>
          <w:rFonts w:ascii="AvantGarde" w:hAnsi="AvantGarde"/>
          <w:b/>
          <w:i/>
          <w:sz w:val="36"/>
          <w:szCs w:val="36"/>
        </w:rPr>
        <w:t xml:space="preserve"> and Ex-Ante</w:t>
      </w:r>
      <w:r w:rsidR="00746CAA">
        <w:rPr>
          <w:rFonts w:ascii="AvantGarde" w:hAnsi="AvantGarde"/>
          <w:b/>
          <w:sz w:val="36"/>
          <w:szCs w:val="36"/>
        </w:rPr>
        <w:t xml:space="preserve"> </w:t>
      </w:r>
      <w:r w:rsidR="00047B5B">
        <w:rPr>
          <w:rFonts w:ascii="AvantGarde" w:hAnsi="AvantGarde"/>
          <w:b/>
          <w:sz w:val="36"/>
          <w:szCs w:val="36"/>
        </w:rPr>
        <w:t>Report</w:t>
      </w:r>
      <w:r w:rsidR="00321E09">
        <w:rPr>
          <w:rFonts w:ascii="AvantGarde" w:hAnsi="AvantGarde"/>
          <w:b/>
          <w:sz w:val="36"/>
          <w:szCs w:val="36"/>
        </w:rPr>
        <w:t xml:space="preserve"> </w:t>
      </w:r>
    </w:p>
    <w:p w14:paraId="255E261E" w14:textId="77777777" w:rsidR="00467BD7" w:rsidRPr="00467BD7" w:rsidRDefault="00467BD7" w:rsidP="003601DE">
      <w:pPr>
        <w:rPr>
          <w:rFonts w:ascii="AvantGarde" w:hAnsi="AvantGarde"/>
          <w:b/>
          <w:i/>
          <w:sz w:val="36"/>
          <w:szCs w:val="36"/>
        </w:rPr>
      </w:pPr>
    </w:p>
    <w:p w14:paraId="27E9241E" w14:textId="77777777" w:rsidR="00321E09" w:rsidRDefault="00321E09" w:rsidP="003601DE">
      <w:pPr>
        <w:rPr>
          <w:rFonts w:ascii="AvantGarde" w:hAnsi="AvantGarde"/>
        </w:rPr>
      </w:pPr>
    </w:p>
    <w:p w14:paraId="361B56DC" w14:textId="77777777" w:rsidR="00321E09" w:rsidRDefault="00321E09" w:rsidP="003601DE">
      <w:pPr>
        <w:rPr>
          <w:rFonts w:ascii="AvantGarde" w:hAnsi="AvantGarde"/>
        </w:rPr>
      </w:pPr>
    </w:p>
    <w:p w14:paraId="51E00618" w14:textId="2AD48884" w:rsidR="00321E09" w:rsidRPr="005651D3" w:rsidRDefault="005651D3" w:rsidP="003601DE">
      <w:pPr>
        <w:rPr>
          <w:rFonts w:ascii="AvantGarde" w:hAnsi="AvantGarde"/>
          <w:b/>
        </w:rPr>
      </w:pPr>
      <w:r w:rsidRPr="005651D3">
        <w:rPr>
          <w:rFonts w:ascii="AvantGarde" w:hAnsi="AvantGarde"/>
          <w:b/>
          <w:sz w:val="28"/>
          <w:szCs w:val="28"/>
        </w:rPr>
        <w:t xml:space="preserve">CALMAC Study ID </w:t>
      </w:r>
      <w:r w:rsidR="00595732">
        <w:rPr>
          <w:rFonts w:ascii="AvantGarde" w:hAnsi="AvantGarde"/>
          <w:b/>
          <w:sz w:val="28"/>
          <w:szCs w:val="28"/>
        </w:rPr>
        <w:t>SCE0368</w:t>
      </w:r>
    </w:p>
    <w:p w14:paraId="1A56AE33" w14:textId="77777777" w:rsidR="00321E09" w:rsidRDefault="00321E09" w:rsidP="003601DE">
      <w:pPr>
        <w:rPr>
          <w:rFonts w:ascii="AvantGarde" w:hAnsi="AvantGarde"/>
        </w:rPr>
      </w:pPr>
    </w:p>
    <w:p w14:paraId="0A658816" w14:textId="77777777" w:rsidR="00321E09" w:rsidRDefault="00321E09" w:rsidP="003601DE">
      <w:pPr>
        <w:rPr>
          <w:rFonts w:ascii="AvantGarde" w:hAnsi="AvantGarde"/>
        </w:rPr>
      </w:pPr>
    </w:p>
    <w:p w14:paraId="74227840" w14:textId="77777777" w:rsidR="000B3C39" w:rsidRDefault="000B3C39" w:rsidP="003601DE">
      <w:pPr>
        <w:rPr>
          <w:rFonts w:ascii="AvantGarde" w:hAnsi="AvantGarde"/>
          <w:lang w:val="nb-NO"/>
        </w:rPr>
      </w:pPr>
      <w:r w:rsidRPr="003601DE">
        <w:rPr>
          <w:rFonts w:ascii="AvantGarde" w:hAnsi="AvantGarde"/>
          <w:lang w:val="nb-NO"/>
        </w:rPr>
        <w:t>Daniel G. Hansen</w:t>
      </w:r>
    </w:p>
    <w:p w14:paraId="4662EE1B" w14:textId="29152042" w:rsidR="00214534" w:rsidRPr="003601DE" w:rsidRDefault="00C74220" w:rsidP="003601DE">
      <w:pPr>
        <w:rPr>
          <w:rFonts w:ascii="AvantGarde" w:hAnsi="AvantGarde"/>
        </w:rPr>
      </w:pPr>
      <w:r>
        <w:rPr>
          <w:rFonts w:ascii="AvantGarde" w:hAnsi="AvantGarde"/>
        </w:rPr>
        <w:t>David Armstrong</w:t>
      </w:r>
    </w:p>
    <w:p w14:paraId="5C555640" w14:textId="2A8344A4" w:rsidR="00321E09" w:rsidRPr="003601DE" w:rsidRDefault="00C74220" w:rsidP="003601DE">
      <w:pPr>
        <w:rPr>
          <w:rFonts w:ascii="AvantGarde" w:hAnsi="AvantGarde"/>
        </w:rPr>
      </w:pPr>
      <w:r>
        <w:rPr>
          <w:rFonts w:ascii="AvantGarde" w:hAnsi="AvantGarde"/>
        </w:rPr>
        <w:t>Steven D. Braithwait</w:t>
      </w:r>
    </w:p>
    <w:p w14:paraId="50DACA4A" w14:textId="77777777" w:rsidR="00321E09" w:rsidRPr="003601DE" w:rsidRDefault="00321E09" w:rsidP="003601DE">
      <w:pPr>
        <w:rPr>
          <w:rFonts w:ascii="AvantGarde" w:hAnsi="AvantGarde"/>
        </w:rPr>
      </w:pPr>
    </w:p>
    <w:p w14:paraId="748F4814" w14:textId="06BAB375" w:rsidR="00321E09" w:rsidRPr="003601DE" w:rsidRDefault="00E23E35" w:rsidP="003601DE">
      <w:pPr>
        <w:rPr>
          <w:rFonts w:ascii="AvantGarde" w:hAnsi="AvantGarde"/>
          <w:i/>
        </w:rPr>
        <w:sectPr w:rsidR="00321E09" w:rsidRPr="003601DE" w:rsidSect="003601DE">
          <w:headerReference w:type="default" r:id="rId8"/>
          <w:footerReference w:type="even" r:id="rId9"/>
          <w:footerReference w:type="default" r:id="rId10"/>
          <w:pgSz w:w="12240" w:h="15840"/>
          <w:pgMar w:top="4863" w:right="432" w:bottom="2520" w:left="6754" w:header="2880" w:footer="1890" w:gutter="0"/>
          <w:pgNumType w:fmt="lowerRoman"/>
          <w:cols w:space="720"/>
          <w:docGrid w:linePitch="360"/>
        </w:sectPr>
      </w:pPr>
      <w:r>
        <w:rPr>
          <w:rFonts w:ascii="AvantGarde" w:hAnsi="AvantGarde"/>
          <w:i/>
        </w:rPr>
        <w:t>April 1</w:t>
      </w:r>
      <w:r w:rsidR="001A04EA">
        <w:rPr>
          <w:rFonts w:ascii="AvantGarde" w:hAnsi="AvantGarde"/>
          <w:i/>
        </w:rPr>
        <w:t>, 201</w:t>
      </w:r>
      <w:r w:rsidR="000A44DF">
        <w:rPr>
          <w:rFonts w:ascii="AvantGarde" w:hAnsi="AvantGarde"/>
          <w:i/>
        </w:rPr>
        <w:t>5</w:t>
      </w:r>
    </w:p>
    <w:p w14:paraId="37CD273E" w14:textId="77777777" w:rsidR="00321E09" w:rsidRPr="009D1511" w:rsidRDefault="00321E09" w:rsidP="009068D9">
      <w:pPr>
        <w:pStyle w:val="TOC1"/>
      </w:pPr>
      <w:r w:rsidRPr="009D1511">
        <w:lastRenderedPageBreak/>
        <w:t>Table of Contents</w:t>
      </w:r>
    </w:p>
    <w:p w14:paraId="546758A7" w14:textId="77777777" w:rsidR="00321E09" w:rsidRDefault="00321E09" w:rsidP="009D1511">
      <w:pPr>
        <w:pStyle w:val="TOC3"/>
      </w:pPr>
    </w:p>
    <w:p w14:paraId="416B9542" w14:textId="77777777" w:rsidR="001C37C9" w:rsidRDefault="00321E09">
      <w:pPr>
        <w:pStyle w:val="TOC1"/>
        <w:rPr>
          <w:rFonts w:asciiTheme="minorHAnsi" w:eastAsiaTheme="minorEastAsia" w:hAnsiTheme="minorHAnsi" w:cstheme="minorBidi"/>
          <w:b w:val="0"/>
          <w:noProof/>
          <w:sz w:val="22"/>
          <w:szCs w:val="22"/>
        </w:rPr>
      </w:pPr>
      <w:r w:rsidRPr="00421999">
        <w:rPr>
          <w:sz w:val="22"/>
          <w:szCs w:val="22"/>
        </w:rPr>
        <w:fldChar w:fldCharType="begin"/>
      </w:r>
      <w:r w:rsidRPr="00421999">
        <w:rPr>
          <w:sz w:val="22"/>
          <w:szCs w:val="22"/>
        </w:rPr>
        <w:instrText xml:space="preserve"> TOC \o "1-3" \h \z \u </w:instrText>
      </w:r>
      <w:r w:rsidRPr="00421999">
        <w:rPr>
          <w:sz w:val="22"/>
          <w:szCs w:val="22"/>
        </w:rPr>
        <w:fldChar w:fldCharType="separate"/>
      </w:r>
      <w:hyperlink w:anchor="_Toc415761798" w:history="1">
        <w:r w:rsidR="001C37C9" w:rsidRPr="00870E05">
          <w:rPr>
            <w:rStyle w:val="Hyperlink"/>
            <w:noProof/>
          </w:rPr>
          <w:t>Abstract</w:t>
        </w:r>
        <w:r w:rsidR="001C37C9">
          <w:rPr>
            <w:noProof/>
            <w:webHidden/>
          </w:rPr>
          <w:tab/>
        </w:r>
        <w:r w:rsidR="001C37C9">
          <w:rPr>
            <w:noProof/>
            <w:webHidden/>
          </w:rPr>
          <w:fldChar w:fldCharType="begin"/>
        </w:r>
        <w:r w:rsidR="001C37C9">
          <w:rPr>
            <w:noProof/>
            <w:webHidden/>
          </w:rPr>
          <w:instrText xml:space="preserve"> PAGEREF _Toc415761798 \h </w:instrText>
        </w:r>
        <w:r w:rsidR="001C37C9">
          <w:rPr>
            <w:noProof/>
            <w:webHidden/>
          </w:rPr>
        </w:r>
        <w:r w:rsidR="001C37C9">
          <w:rPr>
            <w:noProof/>
            <w:webHidden/>
          </w:rPr>
          <w:fldChar w:fldCharType="separate"/>
        </w:r>
        <w:r w:rsidR="001C37C9">
          <w:rPr>
            <w:noProof/>
            <w:webHidden/>
          </w:rPr>
          <w:t>1</w:t>
        </w:r>
        <w:r w:rsidR="001C37C9">
          <w:rPr>
            <w:noProof/>
            <w:webHidden/>
          </w:rPr>
          <w:fldChar w:fldCharType="end"/>
        </w:r>
      </w:hyperlink>
    </w:p>
    <w:p w14:paraId="5749D659" w14:textId="77777777" w:rsidR="001C37C9" w:rsidRDefault="001C37C9">
      <w:pPr>
        <w:pStyle w:val="TOC1"/>
        <w:rPr>
          <w:rFonts w:asciiTheme="minorHAnsi" w:eastAsiaTheme="minorEastAsia" w:hAnsiTheme="minorHAnsi" w:cstheme="minorBidi"/>
          <w:b w:val="0"/>
          <w:noProof/>
          <w:sz w:val="22"/>
          <w:szCs w:val="22"/>
        </w:rPr>
      </w:pPr>
      <w:hyperlink w:anchor="_Toc415761799" w:history="1">
        <w:r w:rsidRPr="00870E05">
          <w:rPr>
            <w:rStyle w:val="Hyperlink"/>
            <w:noProof/>
          </w:rPr>
          <w:t>Executive Summary</w:t>
        </w:r>
        <w:r>
          <w:rPr>
            <w:noProof/>
            <w:webHidden/>
          </w:rPr>
          <w:tab/>
        </w:r>
        <w:r>
          <w:rPr>
            <w:noProof/>
            <w:webHidden/>
          </w:rPr>
          <w:fldChar w:fldCharType="begin"/>
        </w:r>
        <w:r>
          <w:rPr>
            <w:noProof/>
            <w:webHidden/>
          </w:rPr>
          <w:instrText xml:space="preserve"> PAGEREF _Toc415761799 \h </w:instrText>
        </w:r>
        <w:r>
          <w:rPr>
            <w:noProof/>
            <w:webHidden/>
          </w:rPr>
        </w:r>
        <w:r>
          <w:rPr>
            <w:noProof/>
            <w:webHidden/>
          </w:rPr>
          <w:fldChar w:fldCharType="separate"/>
        </w:r>
        <w:r>
          <w:rPr>
            <w:noProof/>
            <w:webHidden/>
          </w:rPr>
          <w:t>3</w:t>
        </w:r>
        <w:r>
          <w:rPr>
            <w:noProof/>
            <w:webHidden/>
          </w:rPr>
          <w:fldChar w:fldCharType="end"/>
        </w:r>
      </w:hyperlink>
    </w:p>
    <w:p w14:paraId="46B0F836"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00" w:history="1">
        <w:r w:rsidRPr="00870E05">
          <w:rPr>
            <w:rStyle w:val="Hyperlink"/>
            <w:noProof/>
          </w:rPr>
          <w:t>ES.1 Resources covered</w:t>
        </w:r>
        <w:r>
          <w:rPr>
            <w:noProof/>
            <w:webHidden/>
          </w:rPr>
          <w:tab/>
        </w:r>
        <w:r>
          <w:rPr>
            <w:noProof/>
            <w:webHidden/>
          </w:rPr>
          <w:fldChar w:fldCharType="begin"/>
        </w:r>
        <w:r>
          <w:rPr>
            <w:noProof/>
            <w:webHidden/>
          </w:rPr>
          <w:instrText xml:space="preserve"> PAGEREF _Toc415761800 \h </w:instrText>
        </w:r>
        <w:r>
          <w:rPr>
            <w:noProof/>
            <w:webHidden/>
          </w:rPr>
        </w:r>
        <w:r>
          <w:rPr>
            <w:noProof/>
            <w:webHidden/>
          </w:rPr>
          <w:fldChar w:fldCharType="separate"/>
        </w:r>
        <w:r>
          <w:rPr>
            <w:noProof/>
            <w:webHidden/>
          </w:rPr>
          <w:t>3</w:t>
        </w:r>
        <w:r>
          <w:rPr>
            <w:noProof/>
            <w:webHidden/>
          </w:rPr>
          <w:fldChar w:fldCharType="end"/>
        </w:r>
      </w:hyperlink>
    </w:p>
    <w:p w14:paraId="0E2F0E54" w14:textId="77777777" w:rsidR="001C37C9" w:rsidRDefault="001C37C9">
      <w:pPr>
        <w:pStyle w:val="TOC3"/>
        <w:rPr>
          <w:rFonts w:asciiTheme="minorHAnsi" w:eastAsiaTheme="minorEastAsia" w:hAnsiTheme="minorHAnsi" w:cstheme="minorBidi"/>
          <w:noProof/>
          <w:sz w:val="22"/>
          <w:szCs w:val="22"/>
        </w:rPr>
      </w:pPr>
      <w:hyperlink w:anchor="_Toc415761801" w:history="1">
        <w:r w:rsidRPr="00870E05">
          <w:rPr>
            <w:rStyle w:val="Hyperlink"/>
            <w:noProof/>
          </w:rPr>
          <w:t>Demand Bidding Program</w:t>
        </w:r>
        <w:r>
          <w:rPr>
            <w:noProof/>
            <w:webHidden/>
          </w:rPr>
          <w:tab/>
        </w:r>
        <w:r>
          <w:rPr>
            <w:noProof/>
            <w:webHidden/>
          </w:rPr>
          <w:fldChar w:fldCharType="begin"/>
        </w:r>
        <w:r>
          <w:rPr>
            <w:noProof/>
            <w:webHidden/>
          </w:rPr>
          <w:instrText xml:space="preserve"> PAGEREF _Toc415761801 \h </w:instrText>
        </w:r>
        <w:r>
          <w:rPr>
            <w:noProof/>
            <w:webHidden/>
          </w:rPr>
        </w:r>
        <w:r>
          <w:rPr>
            <w:noProof/>
            <w:webHidden/>
          </w:rPr>
          <w:fldChar w:fldCharType="separate"/>
        </w:r>
        <w:r>
          <w:rPr>
            <w:noProof/>
            <w:webHidden/>
          </w:rPr>
          <w:t>3</w:t>
        </w:r>
        <w:r>
          <w:rPr>
            <w:noProof/>
            <w:webHidden/>
          </w:rPr>
          <w:fldChar w:fldCharType="end"/>
        </w:r>
      </w:hyperlink>
    </w:p>
    <w:p w14:paraId="3E4576C5" w14:textId="77777777" w:rsidR="001C37C9" w:rsidRDefault="001C37C9">
      <w:pPr>
        <w:pStyle w:val="TOC3"/>
        <w:rPr>
          <w:rFonts w:asciiTheme="minorHAnsi" w:eastAsiaTheme="minorEastAsia" w:hAnsiTheme="minorHAnsi" w:cstheme="minorBidi"/>
          <w:noProof/>
          <w:sz w:val="22"/>
          <w:szCs w:val="22"/>
        </w:rPr>
      </w:pPr>
      <w:hyperlink w:anchor="_Toc415761802" w:history="1">
        <w:r w:rsidRPr="00870E05">
          <w:rPr>
            <w:rStyle w:val="Hyperlink"/>
            <w:noProof/>
          </w:rPr>
          <w:t>Enrollment</w:t>
        </w:r>
        <w:r>
          <w:rPr>
            <w:noProof/>
            <w:webHidden/>
          </w:rPr>
          <w:tab/>
        </w:r>
        <w:r>
          <w:rPr>
            <w:noProof/>
            <w:webHidden/>
          </w:rPr>
          <w:fldChar w:fldCharType="begin"/>
        </w:r>
        <w:r>
          <w:rPr>
            <w:noProof/>
            <w:webHidden/>
          </w:rPr>
          <w:instrText xml:space="preserve"> PAGEREF _Toc415761802 \h </w:instrText>
        </w:r>
        <w:r>
          <w:rPr>
            <w:noProof/>
            <w:webHidden/>
          </w:rPr>
        </w:r>
        <w:r>
          <w:rPr>
            <w:noProof/>
            <w:webHidden/>
          </w:rPr>
          <w:fldChar w:fldCharType="separate"/>
        </w:r>
        <w:r>
          <w:rPr>
            <w:noProof/>
            <w:webHidden/>
          </w:rPr>
          <w:t>4</w:t>
        </w:r>
        <w:r>
          <w:rPr>
            <w:noProof/>
            <w:webHidden/>
          </w:rPr>
          <w:fldChar w:fldCharType="end"/>
        </w:r>
      </w:hyperlink>
    </w:p>
    <w:p w14:paraId="09EA3DA2" w14:textId="77777777" w:rsidR="001C37C9" w:rsidRDefault="001C37C9">
      <w:pPr>
        <w:pStyle w:val="TOC3"/>
        <w:rPr>
          <w:rFonts w:asciiTheme="minorHAnsi" w:eastAsiaTheme="minorEastAsia" w:hAnsiTheme="minorHAnsi" w:cstheme="minorBidi"/>
          <w:noProof/>
          <w:sz w:val="22"/>
          <w:szCs w:val="22"/>
        </w:rPr>
      </w:pPr>
      <w:hyperlink w:anchor="_Toc415761803" w:history="1">
        <w:r w:rsidRPr="00870E05">
          <w:rPr>
            <w:rStyle w:val="Hyperlink"/>
            <w:noProof/>
          </w:rPr>
          <w:t>Bidding Behavior</w:t>
        </w:r>
        <w:r>
          <w:rPr>
            <w:noProof/>
            <w:webHidden/>
          </w:rPr>
          <w:tab/>
        </w:r>
        <w:r>
          <w:rPr>
            <w:noProof/>
            <w:webHidden/>
          </w:rPr>
          <w:fldChar w:fldCharType="begin"/>
        </w:r>
        <w:r>
          <w:rPr>
            <w:noProof/>
            <w:webHidden/>
          </w:rPr>
          <w:instrText xml:space="preserve"> PAGEREF _Toc415761803 \h </w:instrText>
        </w:r>
        <w:r>
          <w:rPr>
            <w:noProof/>
            <w:webHidden/>
          </w:rPr>
        </w:r>
        <w:r>
          <w:rPr>
            <w:noProof/>
            <w:webHidden/>
          </w:rPr>
          <w:fldChar w:fldCharType="separate"/>
        </w:r>
        <w:r>
          <w:rPr>
            <w:noProof/>
            <w:webHidden/>
          </w:rPr>
          <w:t>4</w:t>
        </w:r>
        <w:r>
          <w:rPr>
            <w:noProof/>
            <w:webHidden/>
          </w:rPr>
          <w:fldChar w:fldCharType="end"/>
        </w:r>
      </w:hyperlink>
    </w:p>
    <w:p w14:paraId="7A4B3010"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04" w:history="1">
        <w:r w:rsidRPr="00870E05">
          <w:rPr>
            <w:rStyle w:val="Hyperlink"/>
            <w:noProof/>
          </w:rPr>
          <w:t>ES.2 Evaluation Methodology</w:t>
        </w:r>
        <w:r>
          <w:rPr>
            <w:noProof/>
            <w:webHidden/>
          </w:rPr>
          <w:tab/>
        </w:r>
        <w:r>
          <w:rPr>
            <w:noProof/>
            <w:webHidden/>
          </w:rPr>
          <w:fldChar w:fldCharType="begin"/>
        </w:r>
        <w:r>
          <w:rPr>
            <w:noProof/>
            <w:webHidden/>
          </w:rPr>
          <w:instrText xml:space="preserve"> PAGEREF _Toc415761804 \h </w:instrText>
        </w:r>
        <w:r>
          <w:rPr>
            <w:noProof/>
            <w:webHidden/>
          </w:rPr>
        </w:r>
        <w:r>
          <w:rPr>
            <w:noProof/>
            <w:webHidden/>
          </w:rPr>
          <w:fldChar w:fldCharType="separate"/>
        </w:r>
        <w:r>
          <w:rPr>
            <w:noProof/>
            <w:webHidden/>
          </w:rPr>
          <w:t>4</w:t>
        </w:r>
        <w:r>
          <w:rPr>
            <w:noProof/>
            <w:webHidden/>
          </w:rPr>
          <w:fldChar w:fldCharType="end"/>
        </w:r>
      </w:hyperlink>
    </w:p>
    <w:p w14:paraId="317FC934"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05" w:history="1">
        <w:r w:rsidRPr="00870E05">
          <w:rPr>
            <w:rStyle w:val="Hyperlink"/>
            <w:noProof/>
          </w:rPr>
          <w:t>ES.3 Ex-post Load Impacts</w:t>
        </w:r>
        <w:r>
          <w:rPr>
            <w:noProof/>
            <w:webHidden/>
          </w:rPr>
          <w:tab/>
        </w:r>
        <w:r>
          <w:rPr>
            <w:noProof/>
            <w:webHidden/>
          </w:rPr>
          <w:fldChar w:fldCharType="begin"/>
        </w:r>
        <w:r>
          <w:rPr>
            <w:noProof/>
            <w:webHidden/>
          </w:rPr>
          <w:instrText xml:space="preserve"> PAGEREF _Toc415761805 \h </w:instrText>
        </w:r>
        <w:r>
          <w:rPr>
            <w:noProof/>
            <w:webHidden/>
          </w:rPr>
        </w:r>
        <w:r>
          <w:rPr>
            <w:noProof/>
            <w:webHidden/>
          </w:rPr>
          <w:fldChar w:fldCharType="separate"/>
        </w:r>
        <w:r>
          <w:rPr>
            <w:noProof/>
            <w:webHidden/>
          </w:rPr>
          <w:t>4</w:t>
        </w:r>
        <w:r>
          <w:rPr>
            <w:noProof/>
            <w:webHidden/>
          </w:rPr>
          <w:fldChar w:fldCharType="end"/>
        </w:r>
      </w:hyperlink>
    </w:p>
    <w:p w14:paraId="0E569F3E"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06" w:history="1">
        <w:r w:rsidRPr="00870E05">
          <w:rPr>
            <w:rStyle w:val="Hyperlink"/>
            <w:noProof/>
          </w:rPr>
          <w:t>ES.4 TA/TI and AutoDR Effects</w:t>
        </w:r>
        <w:r>
          <w:rPr>
            <w:noProof/>
            <w:webHidden/>
          </w:rPr>
          <w:tab/>
        </w:r>
        <w:r>
          <w:rPr>
            <w:noProof/>
            <w:webHidden/>
          </w:rPr>
          <w:fldChar w:fldCharType="begin"/>
        </w:r>
        <w:r>
          <w:rPr>
            <w:noProof/>
            <w:webHidden/>
          </w:rPr>
          <w:instrText xml:space="preserve"> PAGEREF _Toc415761806 \h </w:instrText>
        </w:r>
        <w:r>
          <w:rPr>
            <w:noProof/>
            <w:webHidden/>
          </w:rPr>
        </w:r>
        <w:r>
          <w:rPr>
            <w:noProof/>
            <w:webHidden/>
          </w:rPr>
          <w:fldChar w:fldCharType="separate"/>
        </w:r>
        <w:r>
          <w:rPr>
            <w:noProof/>
            <w:webHidden/>
          </w:rPr>
          <w:t>5</w:t>
        </w:r>
        <w:r>
          <w:rPr>
            <w:noProof/>
            <w:webHidden/>
          </w:rPr>
          <w:fldChar w:fldCharType="end"/>
        </w:r>
      </w:hyperlink>
    </w:p>
    <w:p w14:paraId="2C27CEB6"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07" w:history="1">
        <w:r w:rsidRPr="00870E05">
          <w:rPr>
            <w:rStyle w:val="Hyperlink"/>
            <w:noProof/>
          </w:rPr>
          <w:t>ES.5 Ex-ante Load Impacts</w:t>
        </w:r>
        <w:r>
          <w:rPr>
            <w:noProof/>
            <w:webHidden/>
          </w:rPr>
          <w:tab/>
        </w:r>
        <w:r>
          <w:rPr>
            <w:noProof/>
            <w:webHidden/>
          </w:rPr>
          <w:fldChar w:fldCharType="begin"/>
        </w:r>
        <w:r>
          <w:rPr>
            <w:noProof/>
            <w:webHidden/>
          </w:rPr>
          <w:instrText xml:space="preserve"> PAGEREF _Toc415761807 \h </w:instrText>
        </w:r>
        <w:r>
          <w:rPr>
            <w:noProof/>
            <w:webHidden/>
          </w:rPr>
        </w:r>
        <w:r>
          <w:rPr>
            <w:noProof/>
            <w:webHidden/>
          </w:rPr>
          <w:fldChar w:fldCharType="separate"/>
        </w:r>
        <w:r>
          <w:rPr>
            <w:noProof/>
            <w:webHidden/>
          </w:rPr>
          <w:t>5</w:t>
        </w:r>
        <w:r>
          <w:rPr>
            <w:noProof/>
            <w:webHidden/>
          </w:rPr>
          <w:fldChar w:fldCharType="end"/>
        </w:r>
      </w:hyperlink>
    </w:p>
    <w:p w14:paraId="0E31F702" w14:textId="77777777" w:rsidR="001C37C9" w:rsidRDefault="001C37C9">
      <w:pPr>
        <w:pStyle w:val="TOC1"/>
        <w:rPr>
          <w:rFonts w:asciiTheme="minorHAnsi" w:eastAsiaTheme="minorEastAsia" w:hAnsiTheme="minorHAnsi" w:cstheme="minorBidi"/>
          <w:b w:val="0"/>
          <w:noProof/>
          <w:sz w:val="22"/>
          <w:szCs w:val="22"/>
        </w:rPr>
      </w:pPr>
      <w:hyperlink w:anchor="_Toc415761808" w:history="1">
        <w:r w:rsidRPr="00870E05">
          <w:rPr>
            <w:rStyle w:val="Hyperlink"/>
            <w:noProof/>
          </w:rPr>
          <w:t>1. Introduction and Purpose of the Study</w:t>
        </w:r>
        <w:r>
          <w:rPr>
            <w:noProof/>
            <w:webHidden/>
          </w:rPr>
          <w:tab/>
        </w:r>
        <w:r>
          <w:rPr>
            <w:noProof/>
            <w:webHidden/>
          </w:rPr>
          <w:fldChar w:fldCharType="begin"/>
        </w:r>
        <w:r>
          <w:rPr>
            <w:noProof/>
            <w:webHidden/>
          </w:rPr>
          <w:instrText xml:space="preserve"> PAGEREF _Toc415761808 \h </w:instrText>
        </w:r>
        <w:r>
          <w:rPr>
            <w:noProof/>
            <w:webHidden/>
          </w:rPr>
        </w:r>
        <w:r>
          <w:rPr>
            <w:noProof/>
            <w:webHidden/>
          </w:rPr>
          <w:fldChar w:fldCharType="separate"/>
        </w:r>
        <w:r>
          <w:rPr>
            <w:noProof/>
            <w:webHidden/>
          </w:rPr>
          <w:t>8</w:t>
        </w:r>
        <w:r>
          <w:rPr>
            <w:noProof/>
            <w:webHidden/>
          </w:rPr>
          <w:fldChar w:fldCharType="end"/>
        </w:r>
      </w:hyperlink>
    </w:p>
    <w:p w14:paraId="2DDDC7DE" w14:textId="77777777" w:rsidR="001C37C9" w:rsidRDefault="001C37C9">
      <w:pPr>
        <w:pStyle w:val="TOC1"/>
        <w:rPr>
          <w:rFonts w:asciiTheme="minorHAnsi" w:eastAsiaTheme="minorEastAsia" w:hAnsiTheme="minorHAnsi" w:cstheme="minorBidi"/>
          <w:b w:val="0"/>
          <w:noProof/>
          <w:sz w:val="22"/>
          <w:szCs w:val="22"/>
        </w:rPr>
      </w:pPr>
      <w:hyperlink w:anchor="_Toc415761809" w:history="1">
        <w:r w:rsidRPr="00870E05">
          <w:rPr>
            <w:rStyle w:val="Hyperlink"/>
            <w:noProof/>
          </w:rPr>
          <w:t>2. Description of Resources Covered in the Study</w:t>
        </w:r>
        <w:r>
          <w:rPr>
            <w:noProof/>
            <w:webHidden/>
          </w:rPr>
          <w:tab/>
        </w:r>
        <w:r>
          <w:rPr>
            <w:noProof/>
            <w:webHidden/>
          </w:rPr>
          <w:fldChar w:fldCharType="begin"/>
        </w:r>
        <w:r>
          <w:rPr>
            <w:noProof/>
            <w:webHidden/>
          </w:rPr>
          <w:instrText xml:space="preserve"> PAGEREF _Toc415761809 \h </w:instrText>
        </w:r>
        <w:r>
          <w:rPr>
            <w:noProof/>
            <w:webHidden/>
          </w:rPr>
        </w:r>
        <w:r>
          <w:rPr>
            <w:noProof/>
            <w:webHidden/>
          </w:rPr>
          <w:fldChar w:fldCharType="separate"/>
        </w:r>
        <w:r>
          <w:rPr>
            <w:noProof/>
            <w:webHidden/>
          </w:rPr>
          <w:t>8</w:t>
        </w:r>
        <w:r>
          <w:rPr>
            <w:noProof/>
            <w:webHidden/>
          </w:rPr>
          <w:fldChar w:fldCharType="end"/>
        </w:r>
      </w:hyperlink>
    </w:p>
    <w:p w14:paraId="304955B5"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10" w:history="1">
        <w:r w:rsidRPr="00870E05">
          <w:rPr>
            <w:rStyle w:val="Hyperlink"/>
            <w:noProof/>
          </w:rPr>
          <w:t>2.1 Program Descriptions</w:t>
        </w:r>
        <w:r>
          <w:rPr>
            <w:noProof/>
            <w:webHidden/>
          </w:rPr>
          <w:tab/>
        </w:r>
        <w:r>
          <w:rPr>
            <w:noProof/>
            <w:webHidden/>
          </w:rPr>
          <w:fldChar w:fldCharType="begin"/>
        </w:r>
        <w:r>
          <w:rPr>
            <w:noProof/>
            <w:webHidden/>
          </w:rPr>
          <w:instrText xml:space="preserve"> PAGEREF _Toc415761810 \h </w:instrText>
        </w:r>
        <w:r>
          <w:rPr>
            <w:noProof/>
            <w:webHidden/>
          </w:rPr>
        </w:r>
        <w:r>
          <w:rPr>
            <w:noProof/>
            <w:webHidden/>
          </w:rPr>
          <w:fldChar w:fldCharType="separate"/>
        </w:r>
        <w:r>
          <w:rPr>
            <w:noProof/>
            <w:webHidden/>
          </w:rPr>
          <w:t>8</w:t>
        </w:r>
        <w:r>
          <w:rPr>
            <w:noProof/>
            <w:webHidden/>
          </w:rPr>
          <w:fldChar w:fldCharType="end"/>
        </w:r>
      </w:hyperlink>
    </w:p>
    <w:p w14:paraId="0869D43A" w14:textId="77777777" w:rsidR="001C37C9" w:rsidRDefault="001C37C9">
      <w:pPr>
        <w:pStyle w:val="TOC3"/>
        <w:rPr>
          <w:rFonts w:asciiTheme="minorHAnsi" w:eastAsiaTheme="minorEastAsia" w:hAnsiTheme="minorHAnsi" w:cstheme="minorBidi"/>
          <w:noProof/>
          <w:sz w:val="22"/>
          <w:szCs w:val="22"/>
        </w:rPr>
      </w:pPr>
      <w:hyperlink w:anchor="_Toc415761811" w:history="1">
        <w:r w:rsidRPr="00870E05">
          <w:rPr>
            <w:rStyle w:val="Hyperlink"/>
            <w:noProof/>
          </w:rPr>
          <w:t>PG&amp;E’s Demand Bidding Program</w:t>
        </w:r>
        <w:r>
          <w:rPr>
            <w:noProof/>
            <w:webHidden/>
          </w:rPr>
          <w:tab/>
        </w:r>
        <w:r>
          <w:rPr>
            <w:noProof/>
            <w:webHidden/>
          </w:rPr>
          <w:fldChar w:fldCharType="begin"/>
        </w:r>
        <w:r>
          <w:rPr>
            <w:noProof/>
            <w:webHidden/>
          </w:rPr>
          <w:instrText xml:space="preserve"> PAGEREF _Toc415761811 \h </w:instrText>
        </w:r>
        <w:r>
          <w:rPr>
            <w:noProof/>
            <w:webHidden/>
          </w:rPr>
        </w:r>
        <w:r>
          <w:rPr>
            <w:noProof/>
            <w:webHidden/>
          </w:rPr>
          <w:fldChar w:fldCharType="separate"/>
        </w:r>
        <w:r>
          <w:rPr>
            <w:noProof/>
            <w:webHidden/>
          </w:rPr>
          <w:t>9</w:t>
        </w:r>
        <w:r>
          <w:rPr>
            <w:noProof/>
            <w:webHidden/>
          </w:rPr>
          <w:fldChar w:fldCharType="end"/>
        </w:r>
      </w:hyperlink>
    </w:p>
    <w:p w14:paraId="5EFF75E2" w14:textId="77777777" w:rsidR="001C37C9" w:rsidRDefault="001C37C9">
      <w:pPr>
        <w:pStyle w:val="TOC3"/>
        <w:rPr>
          <w:rFonts w:asciiTheme="minorHAnsi" w:eastAsiaTheme="minorEastAsia" w:hAnsiTheme="minorHAnsi" w:cstheme="minorBidi"/>
          <w:noProof/>
          <w:sz w:val="22"/>
          <w:szCs w:val="22"/>
        </w:rPr>
      </w:pPr>
      <w:hyperlink w:anchor="_Toc415761812" w:history="1">
        <w:r w:rsidRPr="00870E05">
          <w:rPr>
            <w:rStyle w:val="Hyperlink"/>
            <w:noProof/>
          </w:rPr>
          <w:t>SCE’s Demand Bidding Program</w:t>
        </w:r>
        <w:r>
          <w:rPr>
            <w:noProof/>
            <w:webHidden/>
          </w:rPr>
          <w:tab/>
        </w:r>
        <w:r>
          <w:rPr>
            <w:noProof/>
            <w:webHidden/>
          </w:rPr>
          <w:fldChar w:fldCharType="begin"/>
        </w:r>
        <w:r>
          <w:rPr>
            <w:noProof/>
            <w:webHidden/>
          </w:rPr>
          <w:instrText xml:space="preserve"> PAGEREF _Toc415761812 \h </w:instrText>
        </w:r>
        <w:r>
          <w:rPr>
            <w:noProof/>
            <w:webHidden/>
          </w:rPr>
        </w:r>
        <w:r>
          <w:rPr>
            <w:noProof/>
            <w:webHidden/>
          </w:rPr>
          <w:fldChar w:fldCharType="separate"/>
        </w:r>
        <w:r>
          <w:rPr>
            <w:noProof/>
            <w:webHidden/>
          </w:rPr>
          <w:t>10</w:t>
        </w:r>
        <w:r>
          <w:rPr>
            <w:noProof/>
            <w:webHidden/>
          </w:rPr>
          <w:fldChar w:fldCharType="end"/>
        </w:r>
      </w:hyperlink>
    </w:p>
    <w:p w14:paraId="095A3D84" w14:textId="77777777" w:rsidR="001C37C9" w:rsidRDefault="001C37C9">
      <w:pPr>
        <w:pStyle w:val="TOC3"/>
        <w:rPr>
          <w:rFonts w:asciiTheme="minorHAnsi" w:eastAsiaTheme="minorEastAsia" w:hAnsiTheme="minorHAnsi" w:cstheme="minorBidi"/>
          <w:noProof/>
          <w:sz w:val="22"/>
          <w:szCs w:val="22"/>
        </w:rPr>
      </w:pPr>
      <w:hyperlink w:anchor="_Toc415761813" w:history="1">
        <w:r w:rsidRPr="00870E05">
          <w:rPr>
            <w:rStyle w:val="Hyperlink"/>
            <w:noProof/>
          </w:rPr>
          <w:t>SDG&amp;E’s Demand Bidding Program</w:t>
        </w:r>
        <w:r>
          <w:rPr>
            <w:noProof/>
            <w:webHidden/>
          </w:rPr>
          <w:tab/>
        </w:r>
        <w:r>
          <w:rPr>
            <w:noProof/>
            <w:webHidden/>
          </w:rPr>
          <w:fldChar w:fldCharType="begin"/>
        </w:r>
        <w:r>
          <w:rPr>
            <w:noProof/>
            <w:webHidden/>
          </w:rPr>
          <w:instrText xml:space="preserve"> PAGEREF _Toc415761813 \h </w:instrText>
        </w:r>
        <w:r>
          <w:rPr>
            <w:noProof/>
            <w:webHidden/>
          </w:rPr>
        </w:r>
        <w:r>
          <w:rPr>
            <w:noProof/>
            <w:webHidden/>
          </w:rPr>
          <w:fldChar w:fldCharType="separate"/>
        </w:r>
        <w:r>
          <w:rPr>
            <w:noProof/>
            <w:webHidden/>
          </w:rPr>
          <w:t>10</w:t>
        </w:r>
        <w:r>
          <w:rPr>
            <w:noProof/>
            <w:webHidden/>
          </w:rPr>
          <w:fldChar w:fldCharType="end"/>
        </w:r>
      </w:hyperlink>
    </w:p>
    <w:p w14:paraId="65F69F55"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14" w:history="1">
        <w:r w:rsidRPr="00870E05">
          <w:rPr>
            <w:rStyle w:val="Hyperlink"/>
            <w:noProof/>
          </w:rPr>
          <w:t>2.2 Participant Characteristics</w:t>
        </w:r>
        <w:r>
          <w:rPr>
            <w:noProof/>
            <w:webHidden/>
          </w:rPr>
          <w:tab/>
        </w:r>
        <w:r>
          <w:rPr>
            <w:noProof/>
            <w:webHidden/>
          </w:rPr>
          <w:fldChar w:fldCharType="begin"/>
        </w:r>
        <w:r>
          <w:rPr>
            <w:noProof/>
            <w:webHidden/>
          </w:rPr>
          <w:instrText xml:space="preserve"> PAGEREF _Toc415761814 \h </w:instrText>
        </w:r>
        <w:r>
          <w:rPr>
            <w:noProof/>
            <w:webHidden/>
          </w:rPr>
        </w:r>
        <w:r>
          <w:rPr>
            <w:noProof/>
            <w:webHidden/>
          </w:rPr>
          <w:fldChar w:fldCharType="separate"/>
        </w:r>
        <w:r>
          <w:rPr>
            <w:noProof/>
            <w:webHidden/>
          </w:rPr>
          <w:t>10</w:t>
        </w:r>
        <w:r>
          <w:rPr>
            <w:noProof/>
            <w:webHidden/>
          </w:rPr>
          <w:fldChar w:fldCharType="end"/>
        </w:r>
      </w:hyperlink>
    </w:p>
    <w:p w14:paraId="414B6A6D" w14:textId="77777777" w:rsidR="001C37C9" w:rsidRDefault="001C37C9">
      <w:pPr>
        <w:pStyle w:val="TOC3"/>
        <w:rPr>
          <w:rFonts w:asciiTheme="minorHAnsi" w:eastAsiaTheme="minorEastAsia" w:hAnsiTheme="minorHAnsi" w:cstheme="minorBidi"/>
          <w:noProof/>
          <w:sz w:val="22"/>
          <w:szCs w:val="22"/>
        </w:rPr>
      </w:pPr>
      <w:hyperlink w:anchor="_Toc415761815" w:history="1">
        <w:r w:rsidRPr="00870E05">
          <w:rPr>
            <w:rStyle w:val="Hyperlink"/>
            <w:noProof/>
          </w:rPr>
          <w:t>2.2.1 Development of Customer Groups</w:t>
        </w:r>
        <w:r>
          <w:rPr>
            <w:noProof/>
            <w:webHidden/>
          </w:rPr>
          <w:tab/>
        </w:r>
        <w:r>
          <w:rPr>
            <w:noProof/>
            <w:webHidden/>
          </w:rPr>
          <w:fldChar w:fldCharType="begin"/>
        </w:r>
        <w:r>
          <w:rPr>
            <w:noProof/>
            <w:webHidden/>
          </w:rPr>
          <w:instrText xml:space="preserve"> PAGEREF _Toc415761815 \h </w:instrText>
        </w:r>
        <w:r>
          <w:rPr>
            <w:noProof/>
            <w:webHidden/>
          </w:rPr>
        </w:r>
        <w:r>
          <w:rPr>
            <w:noProof/>
            <w:webHidden/>
          </w:rPr>
          <w:fldChar w:fldCharType="separate"/>
        </w:r>
        <w:r>
          <w:rPr>
            <w:noProof/>
            <w:webHidden/>
          </w:rPr>
          <w:t>10</w:t>
        </w:r>
        <w:r>
          <w:rPr>
            <w:noProof/>
            <w:webHidden/>
          </w:rPr>
          <w:fldChar w:fldCharType="end"/>
        </w:r>
      </w:hyperlink>
    </w:p>
    <w:p w14:paraId="053EBCAE" w14:textId="77777777" w:rsidR="001C37C9" w:rsidRDefault="001C37C9">
      <w:pPr>
        <w:pStyle w:val="TOC3"/>
        <w:rPr>
          <w:rFonts w:asciiTheme="minorHAnsi" w:eastAsiaTheme="minorEastAsia" w:hAnsiTheme="minorHAnsi" w:cstheme="minorBidi"/>
          <w:noProof/>
          <w:sz w:val="22"/>
          <w:szCs w:val="22"/>
        </w:rPr>
      </w:pPr>
      <w:hyperlink w:anchor="_Toc415761816" w:history="1">
        <w:r w:rsidRPr="00870E05">
          <w:rPr>
            <w:rStyle w:val="Hyperlink"/>
            <w:noProof/>
          </w:rPr>
          <w:t>2.2.2 Program Participants by Type</w:t>
        </w:r>
        <w:r>
          <w:rPr>
            <w:noProof/>
            <w:webHidden/>
          </w:rPr>
          <w:tab/>
        </w:r>
        <w:r>
          <w:rPr>
            <w:noProof/>
            <w:webHidden/>
          </w:rPr>
          <w:fldChar w:fldCharType="begin"/>
        </w:r>
        <w:r>
          <w:rPr>
            <w:noProof/>
            <w:webHidden/>
          </w:rPr>
          <w:instrText xml:space="preserve"> PAGEREF _Toc415761816 \h </w:instrText>
        </w:r>
        <w:r>
          <w:rPr>
            <w:noProof/>
            <w:webHidden/>
          </w:rPr>
        </w:r>
        <w:r>
          <w:rPr>
            <w:noProof/>
            <w:webHidden/>
          </w:rPr>
          <w:fldChar w:fldCharType="separate"/>
        </w:r>
        <w:r>
          <w:rPr>
            <w:noProof/>
            <w:webHidden/>
          </w:rPr>
          <w:t>11</w:t>
        </w:r>
        <w:r>
          <w:rPr>
            <w:noProof/>
            <w:webHidden/>
          </w:rPr>
          <w:fldChar w:fldCharType="end"/>
        </w:r>
      </w:hyperlink>
    </w:p>
    <w:p w14:paraId="52D913F6"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17" w:history="1">
        <w:r w:rsidRPr="00870E05">
          <w:rPr>
            <w:rStyle w:val="Hyperlink"/>
            <w:noProof/>
          </w:rPr>
          <w:t>2.3 Event Days</w:t>
        </w:r>
        <w:r>
          <w:rPr>
            <w:noProof/>
            <w:webHidden/>
          </w:rPr>
          <w:tab/>
        </w:r>
        <w:r>
          <w:rPr>
            <w:noProof/>
            <w:webHidden/>
          </w:rPr>
          <w:fldChar w:fldCharType="begin"/>
        </w:r>
        <w:r>
          <w:rPr>
            <w:noProof/>
            <w:webHidden/>
          </w:rPr>
          <w:instrText xml:space="preserve"> PAGEREF _Toc415761817 \h </w:instrText>
        </w:r>
        <w:r>
          <w:rPr>
            <w:noProof/>
            <w:webHidden/>
          </w:rPr>
        </w:r>
        <w:r>
          <w:rPr>
            <w:noProof/>
            <w:webHidden/>
          </w:rPr>
          <w:fldChar w:fldCharType="separate"/>
        </w:r>
        <w:r>
          <w:rPr>
            <w:noProof/>
            <w:webHidden/>
          </w:rPr>
          <w:t>14</w:t>
        </w:r>
        <w:r>
          <w:rPr>
            <w:noProof/>
            <w:webHidden/>
          </w:rPr>
          <w:fldChar w:fldCharType="end"/>
        </w:r>
      </w:hyperlink>
    </w:p>
    <w:p w14:paraId="6CDF9969" w14:textId="77777777" w:rsidR="001C37C9" w:rsidRDefault="001C37C9">
      <w:pPr>
        <w:pStyle w:val="TOC1"/>
        <w:rPr>
          <w:rFonts w:asciiTheme="minorHAnsi" w:eastAsiaTheme="minorEastAsia" w:hAnsiTheme="minorHAnsi" w:cstheme="minorBidi"/>
          <w:b w:val="0"/>
          <w:noProof/>
          <w:sz w:val="22"/>
          <w:szCs w:val="22"/>
        </w:rPr>
      </w:pPr>
      <w:hyperlink w:anchor="_Toc415761818" w:history="1">
        <w:r w:rsidRPr="00870E05">
          <w:rPr>
            <w:rStyle w:val="Hyperlink"/>
            <w:noProof/>
          </w:rPr>
          <w:t>3. Study Methodology</w:t>
        </w:r>
        <w:r>
          <w:rPr>
            <w:noProof/>
            <w:webHidden/>
          </w:rPr>
          <w:tab/>
        </w:r>
        <w:r>
          <w:rPr>
            <w:noProof/>
            <w:webHidden/>
          </w:rPr>
          <w:fldChar w:fldCharType="begin"/>
        </w:r>
        <w:r>
          <w:rPr>
            <w:noProof/>
            <w:webHidden/>
          </w:rPr>
          <w:instrText xml:space="preserve"> PAGEREF _Toc415761818 \h </w:instrText>
        </w:r>
        <w:r>
          <w:rPr>
            <w:noProof/>
            <w:webHidden/>
          </w:rPr>
        </w:r>
        <w:r>
          <w:rPr>
            <w:noProof/>
            <w:webHidden/>
          </w:rPr>
          <w:fldChar w:fldCharType="separate"/>
        </w:r>
        <w:r>
          <w:rPr>
            <w:noProof/>
            <w:webHidden/>
          </w:rPr>
          <w:t>15</w:t>
        </w:r>
        <w:r>
          <w:rPr>
            <w:noProof/>
            <w:webHidden/>
          </w:rPr>
          <w:fldChar w:fldCharType="end"/>
        </w:r>
      </w:hyperlink>
    </w:p>
    <w:p w14:paraId="590D3134"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19" w:history="1">
        <w:r w:rsidRPr="00870E05">
          <w:rPr>
            <w:rStyle w:val="Hyperlink"/>
            <w:noProof/>
          </w:rPr>
          <w:t>3.1 Overview</w:t>
        </w:r>
        <w:r>
          <w:rPr>
            <w:noProof/>
            <w:webHidden/>
          </w:rPr>
          <w:tab/>
        </w:r>
        <w:r>
          <w:rPr>
            <w:noProof/>
            <w:webHidden/>
          </w:rPr>
          <w:fldChar w:fldCharType="begin"/>
        </w:r>
        <w:r>
          <w:rPr>
            <w:noProof/>
            <w:webHidden/>
          </w:rPr>
          <w:instrText xml:space="preserve"> PAGEREF _Toc415761819 \h </w:instrText>
        </w:r>
        <w:r>
          <w:rPr>
            <w:noProof/>
            <w:webHidden/>
          </w:rPr>
        </w:r>
        <w:r>
          <w:rPr>
            <w:noProof/>
            <w:webHidden/>
          </w:rPr>
          <w:fldChar w:fldCharType="separate"/>
        </w:r>
        <w:r>
          <w:rPr>
            <w:noProof/>
            <w:webHidden/>
          </w:rPr>
          <w:t>15</w:t>
        </w:r>
        <w:r>
          <w:rPr>
            <w:noProof/>
            <w:webHidden/>
          </w:rPr>
          <w:fldChar w:fldCharType="end"/>
        </w:r>
      </w:hyperlink>
    </w:p>
    <w:p w14:paraId="6A256CA2"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20" w:history="1">
        <w:r w:rsidRPr="00870E05">
          <w:rPr>
            <w:rStyle w:val="Hyperlink"/>
            <w:noProof/>
          </w:rPr>
          <w:t>3.2 Description of methods</w:t>
        </w:r>
        <w:r>
          <w:rPr>
            <w:noProof/>
            <w:webHidden/>
          </w:rPr>
          <w:tab/>
        </w:r>
        <w:r>
          <w:rPr>
            <w:noProof/>
            <w:webHidden/>
          </w:rPr>
          <w:fldChar w:fldCharType="begin"/>
        </w:r>
        <w:r>
          <w:rPr>
            <w:noProof/>
            <w:webHidden/>
          </w:rPr>
          <w:instrText xml:space="preserve"> PAGEREF _Toc415761820 \h </w:instrText>
        </w:r>
        <w:r>
          <w:rPr>
            <w:noProof/>
            <w:webHidden/>
          </w:rPr>
        </w:r>
        <w:r>
          <w:rPr>
            <w:noProof/>
            <w:webHidden/>
          </w:rPr>
          <w:fldChar w:fldCharType="separate"/>
        </w:r>
        <w:r>
          <w:rPr>
            <w:noProof/>
            <w:webHidden/>
          </w:rPr>
          <w:t>16</w:t>
        </w:r>
        <w:r>
          <w:rPr>
            <w:noProof/>
            <w:webHidden/>
          </w:rPr>
          <w:fldChar w:fldCharType="end"/>
        </w:r>
      </w:hyperlink>
    </w:p>
    <w:p w14:paraId="38C56D66" w14:textId="77777777" w:rsidR="001C37C9" w:rsidRDefault="001C37C9">
      <w:pPr>
        <w:pStyle w:val="TOC3"/>
        <w:rPr>
          <w:rFonts w:asciiTheme="minorHAnsi" w:eastAsiaTheme="minorEastAsia" w:hAnsiTheme="minorHAnsi" w:cstheme="minorBidi"/>
          <w:noProof/>
          <w:sz w:val="22"/>
          <w:szCs w:val="22"/>
        </w:rPr>
      </w:pPr>
      <w:hyperlink w:anchor="_Toc415761821" w:history="1">
        <w:r w:rsidRPr="00870E05">
          <w:rPr>
            <w:rStyle w:val="Hyperlink"/>
            <w:noProof/>
          </w:rPr>
          <w:t>3.2.1 Regression Model</w:t>
        </w:r>
        <w:r>
          <w:rPr>
            <w:noProof/>
            <w:webHidden/>
          </w:rPr>
          <w:tab/>
        </w:r>
        <w:r>
          <w:rPr>
            <w:noProof/>
            <w:webHidden/>
          </w:rPr>
          <w:fldChar w:fldCharType="begin"/>
        </w:r>
        <w:r>
          <w:rPr>
            <w:noProof/>
            <w:webHidden/>
          </w:rPr>
          <w:instrText xml:space="preserve"> PAGEREF _Toc415761821 \h </w:instrText>
        </w:r>
        <w:r>
          <w:rPr>
            <w:noProof/>
            <w:webHidden/>
          </w:rPr>
        </w:r>
        <w:r>
          <w:rPr>
            <w:noProof/>
            <w:webHidden/>
          </w:rPr>
          <w:fldChar w:fldCharType="separate"/>
        </w:r>
        <w:r>
          <w:rPr>
            <w:noProof/>
            <w:webHidden/>
          </w:rPr>
          <w:t>16</w:t>
        </w:r>
        <w:r>
          <w:rPr>
            <w:noProof/>
            <w:webHidden/>
          </w:rPr>
          <w:fldChar w:fldCharType="end"/>
        </w:r>
      </w:hyperlink>
    </w:p>
    <w:p w14:paraId="0902C723" w14:textId="77777777" w:rsidR="001C37C9" w:rsidRDefault="001C37C9">
      <w:pPr>
        <w:pStyle w:val="TOC3"/>
        <w:rPr>
          <w:rFonts w:asciiTheme="minorHAnsi" w:eastAsiaTheme="minorEastAsia" w:hAnsiTheme="minorHAnsi" w:cstheme="minorBidi"/>
          <w:noProof/>
          <w:sz w:val="22"/>
          <w:szCs w:val="22"/>
        </w:rPr>
      </w:pPr>
      <w:hyperlink w:anchor="_Toc415761822" w:history="1">
        <w:r w:rsidRPr="00870E05">
          <w:rPr>
            <w:rStyle w:val="Hyperlink"/>
            <w:noProof/>
          </w:rPr>
          <w:t>3.2.2 Development of Uncertainty-Adjusted Load Impacts</w:t>
        </w:r>
        <w:r>
          <w:rPr>
            <w:noProof/>
            <w:webHidden/>
          </w:rPr>
          <w:tab/>
        </w:r>
        <w:r>
          <w:rPr>
            <w:noProof/>
            <w:webHidden/>
          </w:rPr>
          <w:fldChar w:fldCharType="begin"/>
        </w:r>
        <w:r>
          <w:rPr>
            <w:noProof/>
            <w:webHidden/>
          </w:rPr>
          <w:instrText xml:space="preserve"> PAGEREF _Toc415761822 \h </w:instrText>
        </w:r>
        <w:r>
          <w:rPr>
            <w:noProof/>
            <w:webHidden/>
          </w:rPr>
        </w:r>
        <w:r>
          <w:rPr>
            <w:noProof/>
            <w:webHidden/>
          </w:rPr>
          <w:fldChar w:fldCharType="separate"/>
        </w:r>
        <w:r>
          <w:rPr>
            <w:noProof/>
            <w:webHidden/>
          </w:rPr>
          <w:t>17</w:t>
        </w:r>
        <w:r>
          <w:rPr>
            <w:noProof/>
            <w:webHidden/>
          </w:rPr>
          <w:fldChar w:fldCharType="end"/>
        </w:r>
      </w:hyperlink>
    </w:p>
    <w:p w14:paraId="4A9E3E77" w14:textId="77777777" w:rsidR="001C37C9" w:rsidRDefault="001C37C9">
      <w:pPr>
        <w:pStyle w:val="TOC1"/>
        <w:rPr>
          <w:rFonts w:asciiTheme="minorHAnsi" w:eastAsiaTheme="minorEastAsia" w:hAnsiTheme="minorHAnsi" w:cstheme="minorBidi"/>
          <w:b w:val="0"/>
          <w:noProof/>
          <w:sz w:val="22"/>
          <w:szCs w:val="22"/>
        </w:rPr>
      </w:pPr>
      <w:hyperlink w:anchor="_Toc415761823" w:history="1">
        <w:r w:rsidRPr="00870E05">
          <w:rPr>
            <w:rStyle w:val="Hyperlink"/>
            <w:noProof/>
          </w:rPr>
          <w:t>4. Detailed Study Findings</w:t>
        </w:r>
        <w:r>
          <w:rPr>
            <w:noProof/>
            <w:webHidden/>
          </w:rPr>
          <w:tab/>
        </w:r>
        <w:r>
          <w:rPr>
            <w:noProof/>
            <w:webHidden/>
          </w:rPr>
          <w:fldChar w:fldCharType="begin"/>
        </w:r>
        <w:r>
          <w:rPr>
            <w:noProof/>
            <w:webHidden/>
          </w:rPr>
          <w:instrText xml:space="preserve"> PAGEREF _Toc415761823 \h </w:instrText>
        </w:r>
        <w:r>
          <w:rPr>
            <w:noProof/>
            <w:webHidden/>
          </w:rPr>
        </w:r>
        <w:r>
          <w:rPr>
            <w:noProof/>
            <w:webHidden/>
          </w:rPr>
          <w:fldChar w:fldCharType="separate"/>
        </w:r>
        <w:r>
          <w:rPr>
            <w:noProof/>
            <w:webHidden/>
          </w:rPr>
          <w:t>18</w:t>
        </w:r>
        <w:r>
          <w:rPr>
            <w:noProof/>
            <w:webHidden/>
          </w:rPr>
          <w:fldChar w:fldCharType="end"/>
        </w:r>
      </w:hyperlink>
    </w:p>
    <w:p w14:paraId="33CF3046"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24" w:history="1">
        <w:r w:rsidRPr="00870E05">
          <w:rPr>
            <w:rStyle w:val="Hyperlink"/>
            <w:noProof/>
          </w:rPr>
          <w:t>4.1 PG&amp;E Load Impacts</w:t>
        </w:r>
        <w:r>
          <w:rPr>
            <w:noProof/>
            <w:webHidden/>
          </w:rPr>
          <w:tab/>
        </w:r>
        <w:r>
          <w:rPr>
            <w:noProof/>
            <w:webHidden/>
          </w:rPr>
          <w:fldChar w:fldCharType="begin"/>
        </w:r>
        <w:r>
          <w:rPr>
            <w:noProof/>
            <w:webHidden/>
          </w:rPr>
          <w:instrText xml:space="preserve"> PAGEREF _Toc415761824 \h </w:instrText>
        </w:r>
        <w:r>
          <w:rPr>
            <w:noProof/>
            <w:webHidden/>
          </w:rPr>
        </w:r>
        <w:r>
          <w:rPr>
            <w:noProof/>
            <w:webHidden/>
          </w:rPr>
          <w:fldChar w:fldCharType="separate"/>
        </w:r>
        <w:r>
          <w:rPr>
            <w:noProof/>
            <w:webHidden/>
          </w:rPr>
          <w:t>19</w:t>
        </w:r>
        <w:r>
          <w:rPr>
            <w:noProof/>
            <w:webHidden/>
          </w:rPr>
          <w:fldChar w:fldCharType="end"/>
        </w:r>
      </w:hyperlink>
    </w:p>
    <w:p w14:paraId="2E7BCD7D" w14:textId="77777777" w:rsidR="001C37C9" w:rsidRDefault="001C37C9">
      <w:pPr>
        <w:pStyle w:val="TOC3"/>
        <w:rPr>
          <w:rFonts w:asciiTheme="minorHAnsi" w:eastAsiaTheme="minorEastAsia" w:hAnsiTheme="minorHAnsi" w:cstheme="minorBidi"/>
          <w:noProof/>
          <w:sz w:val="22"/>
          <w:szCs w:val="22"/>
        </w:rPr>
      </w:pPr>
      <w:hyperlink w:anchor="_Toc415761825" w:history="1">
        <w:r w:rsidRPr="00870E05">
          <w:rPr>
            <w:rStyle w:val="Hyperlink"/>
            <w:noProof/>
          </w:rPr>
          <w:t>4.1.1 Average Event-Hour Load Impacts by Industry Group and LCA</w:t>
        </w:r>
        <w:r>
          <w:rPr>
            <w:noProof/>
            <w:webHidden/>
          </w:rPr>
          <w:tab/>
        </w:r>
        <w:r>
          <w:rPr>
            <w:noProof/>
            <w:webHidden/>
          </w:rPr>
          <w:fldChar w:fldCharType="begin"/>
        </w:r>
        <w:r>
          <w:rPr>
            <w:noProof/>
            <w:webHidden/>
          </w:rPr>
          <w:instrText xml:space="preserve"> PAGEREF _Toc415761825 \h </w:instrText>
        </w:r>
        <w:r>
          <w:rPr>
            <w:noProof/>
            <w:webHidden/>
          </w:rPr>
        </w:r>
        <w:r>
          <w:rPr>
            <w:noProof/>
            <w:webHidden/>
          </w:rPr>
          <w:fldChar w:fldCharType="separate"/>
        </w:r>
        <w:r>
          <w:rPr>
            <w:noProof/>
            <w:webHidden/>
          </w:rPr>
          <w:t>19</w:t>
        </w:r>
        <w:r>
          <w:rPr>
            <w:noProof/>
            <w:webHidden/>
          </w:rPr>
          <w:fldChar w:fldCharType="end"/>
        </w:r>
      </w:hyperlink>
    </w:p>
    <w:p w14:paraId="5E870901" w14:textId="77777777" w:rsidR="001C37C9" w:rsidRDefault="001C37C9">
      <w:pPr>
        <w:pStyle w:val="TOC3"/>
        <w:rPr>
          <w:rFonts w:asciiTheme="minorHAnsi" w:eastAsiaTheme="minorEastAsia" w:hAnsiTheme="minorHAnsi" w:cstheme="minorBidi"/>
          <w:noProof/>
          <w:sz w:val="22"/>
          <w:szCs w:val="22"/>
        </w:rPr>
      </w:pPr>
      <w:hyperlink w:anchor="_Toc415761826" w:history="1">
        <w:r w:rsidRPr="00870E05">
          <w:rPr>
            <w:rStyle w:val="Hyperlink"/>
            <w:noProof/>
          </w:rPr>
          <w:t>4.1.2 Hourly Load Impacts</w:t>
        </w:r>
        <w:r>
          <w:rPr>
            <w:noProof/>
            <w:webHidden/>
          </w:rPr>
          <w:tab/>
        </w:r>
        <w:r>
          <w:rPr>
            <w:noProof/>
            <w:webHidden/>
          </w:rPr>
          <w:fldChar w:fldCharType="begin"/>
        </w:r>
        <w:r>
          <w:rPr>
            <w:noProof/>
            <w:webHidden/>
          </w:rPr>
          <w:instrText xml:space="preserve"> PAGEREF _Toc415761826 \h </w:instrText>
        </w:r>
        <w:r>
          <w:rPr>
            <w:noProof/>
            <w:webHidden/>
          </w:rPr>
        </w:r>
        <w:r>
          <w:rPr>
            <w:noProof/>
            <w:webHidden/>
          </w:rPr>
          <w:fldChar w:fldCharType="separate"/>
        </w:r>
        <w:r>
          <w:rPr>
            <w:noProof/>
            <w:webHidden/>
          </w:rPr>
          <w:t>21</w:t>
        </w:r>
        <w:r>
          <w:rPr>
            <w:noProof/>
            <w:webHidden/>
          </w:rPr>
          <w:fldChar w:fldCharType="end"/>
        </w:r>
      </w:hyperlink>
    </w:p>
    <w:p w14:paraId="7D7147F9"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27" w:history="1">
        <w:r w:rsidRPr="00870E05">
          <w:rPr>
            <w:rStyle w:val="Hyperlink"/>
            <w:noProof/>
          </w:rPr>
          <w:t>4.2 SCE Load Impacts</w:t>
        </w:r>
        <w:r>
          <w:rPr>
            <w:noProof/>
            <w:webHidden/>
          </w:rPr>
          <w:tab/>
        </w:r>
        <w:r>
          <w:rPr>
            <w:noProof/>
            <w:webHidden/>
          </w:rPr>
          <w:fldChar w:fldCharType="begin"/>
        </w:r>
        <w:r>
          <w:rPr>
            <w:noProof/>
            <w:webHidden/>
          </w:rPr>
          <w:instrText xml:space="preserve"> PAGEREF _Toc415761827 \h </w:instrText>
        </w:r>
        <w:r>
          <w:rPr>
            <w:noProof/>
            <w:webHidden/>
          </w:rPr>
        </w:r>
        <w:r>
          <w:rPr>
            <w:noProof/>
            <w:webHidden/>
          </w:rPr>
          <w:fldChar w:fldCharType="separate"/>
        </w:r>
        <w:r>
          <w:rPr>
            <w:noProof/>
            <w:webHidden/>
          </w:rPr>
          <w:t>25</w:t>
        </w:r>
        <w:r>
          <w:rPr>
            <w:noProof/>
            <w:webHidden/>
          </w:rPr>
          <w:fldChar w:fldCharType="end"/>
        </w:r>
      </w:hyperlink>
    </w:p>
    <w:p w14:paraId="7DE308C6" w14:textId="77777777" w:rsidR="001C37C9" w:rsidRDefault="001C37C9">
      <w:pPr>
        <w:pStyle w:val="TOC3"/>
        <w:rPr>
          <w:rFonts w:asciiTheme="minorHAnsi" w:eastAsiaTheme="minorEastAsia" w:hAnsiTheme="minorHAnsi" w:cstheme="minorBidi"/>
          <w:noProof/>
          <w:sz w:val="22"/>
          <w:szCs w:val="22"/>
        </w:rPr>
      </w:pPr>
      <w:hyperlink w:anchor="_Toc415761828" w:history="1">
        <w:r w:rsidRPr="00870E05">
          <w:rPr>
            <w:rStyle w:val="Hyperlink"/>
            <w:noProof/>
          </w:rPr>
          <w:t>4.2.1 Average Event-Hour Load Impacts by Industry Group and LCA</w:t>
        </w:r>
        <w:r>
          <w:rPr>
            <w:noProof/>
            <w:webHidden/>
          </w:rPr>
          <w:tab/>
        </w:r>
        <w:r>
          <w:rPr>
            <w:noProof/>
            <w:webHidden/>
          </w:rPr>
          <w:fldChar w:fldCharType="begin"/>
        </w:r>
        <w:r>
          <w:rPr>
            <w:noProof/>
            <w:webHidden/>
          </w:rPr>
          <w:instrText xml:space="preserve"> PAGEREF _Toc415761828 \h </w:instrText>
        </w:r>
        <w:r>
          <w:rPr>
            <w:noProof/>
            <w:webHidden/>
          </w:rPr>
        </w:r>
        <w:r>
          <w:rPr>
            <w:noProof/>
            <w:webHidden/>
          </w:rPr>
          <w:fldChar w:fldCharType="separate"/>
        </w:r>
        <w:r>
          <w:rPr>
            <w:noProof/>
            <w:webHidden/>
          </w:rPr>
          <w:t>25</w:t>
        </w:r>
        <w:r>
          <w:rPr>
            <w:noProof/>
            <w:webHidden/>
          </w:rPr>
          <w:fldChar w:fldCharType="end"/>
        </w:r>
      </w:hyperlink>
    </w:p>
    <w:p w14:paraId="09D494BC" w14:textId="77777777" w:rsidR="001C37C9" w:rsidRDefault="001C37C9">
      <w:pPr>
        <w:pStyle w:val="TOC3"/>
        <w:rPr>
          <w:rFonts w:asciiTheme="minorHAnsi" w:eastAsiaTheme="minorEastAsia" w:hAnsiTheme="minorHAnsi" w:cstheme="minorBidi"/>
          <w:noProof/>
          <w:sz w:val="22"/>
          <w:szCs w:val="22"/>
        </w:rPr>
      </w:pPr>
      <w:hyperlink w:anchor="_Toc415761829" w:history="1">
        <w:r w:rsidRPr="00870E05">
          <w:rPr>
            <w:rStyle w:val="Hyperlink"/>
            <w:noProof/>
          </w:rPr>
          <w:t>4.2.2 Hourly Load Impacts</w:t>
        </w:r>
        <w:r>
          <w:rPr>
            <w:noProof/>
            <w:webHidden/>
          </w:rPr>
          <w:tab/>
        </w:r>
        <w:r>
          <w:rPr>
            <w:noProof/>
            <w:webHidden/>
          </w:rPr>
          <w:fldChar w:fldCharType="begin"/>
        </w:r>
        <w:r>
          <w:rPr>
            <w:noProof/>
            <w:webHidden/>
          </w:rPr>
          <w:instrText xml:space="preserve"> PAGEREF _Toc415761829 \h </w:instrText>
        </w:r>
        <w:r>
          <w:rPr>
            <w:noProof/>
            <w:webHidden/>
          </w:rPr>
        </w:r>
        <w:r>
          <w:rPr>
            <w:noProof/>
            <w:webHidden/>
          </w:rPr>
          <w:fldChar w:fldCharType="separate"/>
        </w:r>
        <w:r>
          <w:rPr>
            <w:noProof/>
            <w:webHidden/>
          </w:rPr>
          <w:t>27</w:t>
        </w:r>
        <w:r>
          <w:rPr>
            <w:noProof/>
            <w:webHidden/>
          </w:rPr>
          <w:fldChar w:fldCharType="end"/>
        </w:r>
      </w:hyperlink>
    </w:p>
    <w:p w14:paraId="3B5AAD10"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30" w:history="1">
        <w:r w:rsidRPr="00870E05">
          <w:rPr>
            <w:rStyle w:val="Hyperlink"/>
            <w:noProof/>
          </w:rPr>
          <w:t>4.3 SDG&amp;E Load Impacts</w:t>
        </w:r>
        <w:r>
          <w:rPr>
            <w:noProof/>
            <w:webHidden/>
          </w:rPr>
          <w:tab/>
        </w:r>
        <w:r>
          <w:rPr>
            <w:noProof/>
            <w:webHidden/>
          </w:rPr>
          <w:fldChar w:fldCharType="begin"/>
        </w:r>
        <w:r>
          <w:rPr>
            <w:noProof/>
            <w:webHidden/>
          </w:rPr>
          <w:instrText xml:space="preserve"> PAGEREF _Toc415761830 \h </w:instrText>
        </w:r>
        <w:r>
          <w:rPr>
            <w:noProof/>
            <w:webHidden/>
          </w:rPr>
        </w:r>
        <w:r>
          <w:rPr>
            <w:noProof/>
            <w:webHidden/>
          </w:rPr>
          <w:fldChar w:fldCharType="separate"/>
        </w:r>
        <w:r>
          <w:rPr>
            <w:noProof/>
            <w:webHidden/>
          </w:rPr>
          <w:t>30</w:t>
        </w:r>
        <w:r>
          <w:rPr>
            <w:noProof/>
            <w:webHidden/>
          </w:rPr>
          <w:fldChar w:fldCharType="end"/>
        </w:r>
      </w:hyperlink>
    </w:p>
    <w:p w14:paraId="20AE2491" w14:textId="77777777" w:rsidR="001C37C9" w:rsidRDefault="001C37C9">
      <w:pPr>
        <w:pStyle w:val="TOC3"/>
        <w:rPr>
          <w:rFonts w:asciiTheme="minorHAnsi" w:eastAsiaTheme="minorEastAsia" w:hAnsiTheme="minorHAnsi" w:cstheme="minorBidi"/>
          <w:noProof/>
          <w:sz w:val="22"/>
          <w:szCs w:val="22"/>
        </w:rPr>
      </w:pPr>
      <w:hyperlink w:anchor="_Toc415761831" w:history="1">
        <w:r w:rsidRPr="00870E05">
          <w:rPr>
            <w:rStyle w:val="Hyperlink"/>
            <w:noProof/>
          </w:rPr>
          <w:t>4.3.2 Hourly Load Impacts</w:t>
        </w:r>
        <w:r>
          <w:rPr>
            <w:noProof/>
            <w:webHidden/>
          </w:rPr>
          <w:tab/>
        </w:r>
        <w:r>
          <w:rPr>
            <w:noProof/>
            <w:webHidden/>
          </w:rPr>
          <w:fldChar w:fldCharType="begin"/>
        </w:r>
        <w:r>
          <w:rPr>
            <w:noProof/>
            <w:webHidden/>
          </w:rPr>
          <w:instrText xml:space="preserve"> PAGEREF _Toc415761831 \h </w:instrText>
        </w:r>
        <w:r>
          <w:rPr>
            <w:noProof/>
            <w:webHidden/>
          </w:rPr>
        </w:r>
        <w:r>
          <w:rPr>
            <w:noProof/>
            <w:webHidden/>
          </w:rPr>
          <w:fldChar w:fldCharType="separate"/>
        </w:r>
        <w:r>
          <w:rPr>
            <w:noProof/>
            <w:webHidden/>
          </w:rPr>
          <w:t>30</w:t>
        </w:r>
        <w:r>
          <w:rPr>
            <w:noProof/>
            <w:webHidden/>
          </w:rPr>
          <w:fldChar w:fldCharType="end"/>
        </w:r>
      </w:hyperlink>
    </w:p>
    <w:p w14:paraId="53BD9BC7"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32" w:history="1">
        <w:r w:rsidRPr="00870E05">
          <w:rPr>
            <w:rStyle w:val="Hyperlink"/>
            <w:noProof/>
          </w:rPr>
          <w:t>4.4 Summary of TA/TI and AutoDR on Load Impacts</w:t>
        </w:r>
        <w:r>
          <w:rPr>
            <w:noProof/>
            <w:webHidden/>
          </w:rPr>
          <w:tab/>
        </w:r>
        <w:r>
          <w:rPr>
            <w:noProof/>
            <w:webHidden/>
          </w:rPr>
          <w:fldChar w:fldCharType="begin"/>
        </w:r>
        <w:r>
          <w:rPr>
            <w:noProof/>
            <w:webHidden/>
          </w:rPr>
          <w:instrText xml:space="preserve"> PAGEREF _Toc415761832 \h </w:instrText>
        </w:r>
        <w:r>
          <w:rPr>
            <w:noProof/>
            <w:webHidden/>
          </w:rPr>
        </w:r>
        <w:r>
          <w:rPr>
            <w:noProof/>
            <w:webHidden/>
          </w:rPr>
          <w:fldChar w:fldCharType="separate"/>
        </w:r>
        <w:r>
          <w:rPr>
            <w:noProof/>
            <w:webHidden/>
          </w:rPr>
          <w:t>31</w:t>
        </w:r>
        <w:r>
          <w:rPr>
            <w:noProof/>
            <w:webHidden/>
          </w:rPr>
          <w:fldChar w:fldCharType="end"/>
        </w:r>
      </w:hyperlink>
    </w:p>
    <w:p w14:paraId="2C0DF79D" w14:textId="77777777" w:rsidR="001C37C9" w:rsidRDefault="001C37C9">
      <w:pPr>
        <w:pStyle w:val="TOC3"/>
        <w:rPr>
          <w:rFonts w:asciiTheme="minorHAnsi" w:eastAsiaTheme="minorEastAsia" w:hAnsiTheme="minorHAnsi" w:cstheme="minorBidi"/>
          <w:noProof/>
          <w:sz w:val="22"/>
          <w:szCs w:val="22"/>
        </w:rPr>
      </w:pPr>
      <w:hyperlink w:anchor="_Toc415761833" w:history="1">
        <w:r w:rsidRPr="00870E05">
          <w:rPr>
            <w:rStyle w:val="Hyperlink"/>
            <w:noProof/>
          </w:rPr>
          <w:t>PG&amp;E</w:t>
        </w:r>
        <w:r>
          <w:rPr>
            <w:noProof/>
            <w:webHidden/>
          </w:rPr>
          <w:tab/>
        </w:r>
        <w:r>
          <w:rPr>
            <w:noProof/>
            <w:webHidden/>
          </w:rPr>
          <w:fldChar w:fldCharType="begin"/>
        </w:r>
        <w:r>
          <w:rPr>
            <w:noProof/>
            <w:webHidden/>
          </w:rPr>
          <w:instrText xml:space="preserve"> PAGEREF _Toc415761833 \h </w:instrText>
        </w:r>
        <w:r>
          <w:rPr>
            <w:noProof/>
            <w:webHidden/>
          </w:rPr>
        </w:r>
        <w:r>
          <w:rPr>
            <w:noProof/>
            <w:webHidden/>
          </w:rPr>
          <w:fldChar w:fldCharType="separate"/>
        </w:r>
        <w:r>
          <w:rPr>
            <w:noProof/>
            <w:webHidden/>
          </w:rPr>
          <w:t>31</w:t>
        </w:r>
        <w:r>
          <w:rPr>
            <w:noProof/>
            <w:webHidden/>
          </w:rPr>
          <w:fldChar w:fldCharType="end"/>
        </w:r>
      </w:hyperlink>
    </w:p>
    <w:p w14:paraId="2EE0FF1A" w14:textId="77777777" w:rsidR="001C37C9" w:rsidRDefault="001C37C9">
      <w:pPr>
        <w:pStyle w:val="TOC3"/>
        <w:rPr>
          <w:rFonts w:asciiTheme="minorHAnsi" w:eastAsiaTheme="minorEastAsia" w:hAnsiTheme="minorHAnsi" w:cstheme="minorBidi"/>
          <w:noProof/>
          <w:sz w:val="22"/>
          <w:szCs w:val="22"/>
        </w:rPr>
      </w:pPr>
      <w:hyperlink w:anchor="_Toc415761834" w:history="1">
        <w:r w:rsidRPr="00870E05">
          <w:rPr>
            <w:rStyle w:val="Hyperlink"/>
            <w:noProof/>
          </w:rPr>
          <w:t>SCE</w:t>
        </w:r>
        <w:r>
          <w:rPr>
            <w:noProof/>
            <w:webHidden/>
          </w:rPr>
          <w:tab/>
        </w:r>
        <w:r>
          <w:rPr>
            <w:noProof/>
            <w:webHidden/>
          </w:rPr>
          <w:fldChar w:fldCharType="begin"/>
        </w:r>
        <w:r>
          <w:rPr>
            <w:noProof/>
            <w:webHidden/>
          </w:rPr>
          <w:instrText xml:space="preserve"> PAGEREF _Toc415761834 \h </w:instrText>
        </w:r>
        <w:r>
          <w:rPr>
            <w:noProof/>
            <w:webHidden/>
          </w:rPr>
        </w:r>
        <w:r>
          <w:rPr>
            <w:noProof/>
            <w:webHidden/>
          </w:rPr>
          <w:fldChar w:fldCharType="separate"/>
        </w:r>
        <w:r>
          <w:rPr>
            <w:noProof/>
            <w:webHidden/>
          </w:rPr>
          <w:t>32</w:t>
        </w:r>
        <w:r>
          <w:rPr>
            <w:noProof/>
            <w:webHidden/>
          </w:rPr>
          <w:fldChar w:fldCharType="end"/>
        </w:r>
      </w:hyperlink>
    </w:p>
    <w:p w14:paraId="08A763B6" w14:textId="77777777" w:rsidR="001C37C9" w:rsidRDefault="001C37C9">
      <w:pPr>
        <w:pStyle w:val="TOC1"/>
        <w:rPr>
          <w:rFonts w:asciiTheme="minorHAnsi" w:eastAsiaTheme="minorEastAsia" w:hAnsiTheme="minorHAnsi" w:cstheme="minorBidi"/>
          <w:b w:val="0"/>
          <w:noProof/>
          <w:sz w:val="22"/>
          <w:szCs w:val="22"/>
        </w:rPr>
      </w:pPr>
      <w:hyperlink w:anchor="_Toc415761835" w:history="1">
        <w:r w:rsidRPr="00870E05">
          <w:rPr>
            <w:rStyle w:val="Hyperlink"/>
            <w:noProof/>
          </w:rPr>
          <w:t xml:space="preserve">5. </w:t>
        </w:r>
        <w:r w:rsidRPr="00870E05">
          <w:rPr>
            <w:rStyle w:val="Hyperlink"/>
            <w:i/>
            <w:noProof/>
          </w:rPr>
          <w:t>Ex-ante</w:t>
        </w:r>
        <w:r w:rsidRPr="00870E05">
          <w:rPr>
            <w:rStyle w:val="Hyperlink"/>
            <w:noProof/>
          </w:rPr>
          <w:t xml:space="preserve"> Load Impact Forecast</w:t>
        </w:r>
        <w:r>
          <w:rPr>
            <w:noProof/>
            <w:webHidden/>
          </w:rPr>
          <w:tab/>
        </w:r>
        <w:r>
          <w:rPr>
            <w:noProof/>
            <w:webHidden/>
          </w:rPr>
          <w:fldChar w:fldCharType="begin"/>
        </w:r>
        <w:r>
          <w:rPr>
            <w:noProof/>
            <w:webHidden/>
          </w:rPr>
          <w:instrText xml:space="preserve"> PAGEREF _Toc415761835 \h </w:instrText>
        </w:r>
        <w:r>
          <w:rPr>
            <w:noProof/>
            <w:webHidden/>
          </w:rPr>
        </w:r>
        <w:r>
          <w:rPr>
            <w:noProof/>
            <w:webHidden/>
          </w:rPr>
          <w:fldChar w:fldCharType="separate"/>
        </w:r>
        <w:r>
          <w:rPr>
            <w:noProof/>
            <w:webHidden/>
          </w:rPr>
          <w:t>33</w:t>
        </w:r>
        <w:r>
          <w:rPr>
            <w:noProof/>
            <w:webHidden/>
          </w:rPr>
          <w:fldChar w:fldCharType="end"/>
        </w:r>
      </w:hyperlink>
    </w:p>
    <w:p w14:paraId="18A8F9BD"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36" w:history="1">
        <w:r w:rsidRPr="00870E05">
          <w:rPr>
            <w:rStyle w:val="Hyperlink"/>
            <w:noProof/>
          </w:rPr>
          <w:t>5.1 Ex-ante Load Impact Requirements</w:t>
        </w:r>
        <w:r>
          <w:rPr>
            <w:noProof/>
            <w:webHidden/>
          </w:rPr>
          <w:tab/>
        </w:r>
        <w:r>
          <w:rPr>
            <w:noProof/>
            <w:webHidden/>
          </w:rPr>
          <w:fldChar w:fldCharType="begin"/>
        </w:r>
        <w:r>
          <w:rPr>
            <w:noProof/>
            <w:webHidden/>
          </w:rPr>
          <w:instrText xml:space="preserve"> PAGEREF _Toc415761836 \h </w:instrText>
        </w:r>
        <w:r>
          <w:rPr>
            <w:noProof/>
            <w:webHidden/>
          </w:rPr>
        </w:r>
        <w:r>
          <w:rPr>
            <w:noProof/>
            <w:webHidden/>
          </w:rPr>
          <w:fldChar w:fldCharType="separate"/>
        </w:r>
        <w:r>
          <w:rPr>
            <w:noProof/>
            <w:webHidden/>
          </w:rPr>
          <w:t>33</w:t>
        </w:r>
        <w:r>
          <w:rPr>
            <w:noProof/>
            <w:webHidden/>
          </w:rPr>
          <w:fldChar w:fldCharType="end"/>
        </w:r>
      </w:hyperlink>
    </w:p>
    <w:p w14:paraId="2581791D"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37" w:history="1">
        <w:r w:rsidRPr="00870E05">
          <w:rPr>
            <w:rStyle w:val="Hyperlink"/>
            <w:noProof/>
          </w:rPr>
          <w:t>5.2 Description of Methods</w:t>
        </w:r>
        <w:r>
          <w:rPr>
            <w:noProof/>
            <w:webHidden/>
          </w:rPr>
          <w:tab/>
        </w:r>
        <w:r>
          <w:rPr>
            <w:noProof/>
            <w:webHidden/>
          </w:rPr>
          <w:fldChar w:fldCharType="begin"/>
        </w:r>
        <w:r>
          <w:rPr>
            <w:noProof/>
            <w:webHidden/>
          </w:rPr>
          <w:instrText xml:space="preserve"> PAGEREF _Toc415761837 \h </w:instrText>
        </w:r>
        <w:r>
          <w:rPr>
            <w:noProof/>
            <w:webHidden/>
          </w:rPr>
        </w:r>
        <w:r>
          <w:rPr>
            <w:noProof/>
            <w:webHidden/>
          </w:rPr>
          <w:fldChar w:fldCharType="separate"/>
        </w:r>
        <w:r>
          <w:rPr>
            <w:noProof/>
            <w:webHidden/>
          </w:rPr>
          <w:t>34</w:t>
        </w:r>
        <w:r>
          <w:rPr>
            <w:noProof/>
            <w:webHidden/>
          </w:rPr>
          <w:fldChar w:fldCharType="end"/>
        </w:r>
      </w:hyperlink>
    </w:p>
    <w:p w14:paraId="731022E0" w14:textId="77777777" w:rsidR="001C37C9" w:rsidRDefault="001C37C9">
      <w:pPr>
        <w:pStyle w:val="TOC3"/>
        <w:rPr>
          <w:rFonts w:asciiTheme="minorHAnsi" w:eastAsiaTheme="minorEastAsia" w:hAnsiTheme="minorHAnsi" w:cstheme="minorBidi"/>
          <w:noProof/>
          <w:sz w:val="22"/>
          <w:szCs w:val="22"/>
        </w:rPr>
      </w:pPr>
      <w:hyperlink w:anchor="_Toc415761838" w:history="1">
        <w:r w:rsidRPr="00870E05">
          <w:rPr>
            <w:rStyle w:val="Hyperlink"/>
            <w:noProof/>
          </w:rPr>
          <w:t>5.2.1 Development of Customer Groups</w:t>
        </w:r>
        <w:r>
          <w:rPr>
            <w:noProof/>
            <w:webHidden/>
          </w:rPr>
          <w:tab/>
        </w:r>
        <w:r>
          <w:rPr>
            <w:noProof/>
            <w:webHidden/>
          </w:rPr>
          <w:fldChar w:fldCharType="begin"/>
        </w:r>
        <w:r>
          <w:rPr>
            <w:noProof/>
            <w:webHidden/>
          </w:rPr>
          <w:instrText xml:space="preserve"> PAGEREF _Toc415761838 \h </w:instrText>
        </w:r>
        <w:r>
          <w:rPr>
            <w:noProof/>
            <w:webHidden/>
          </w:rPr>
        </w:r>
        <w:r>
          <w:rPr>
            <w:noProof/>
            <w:webHidden/>
          </w:rPr>
          <w:fldChar w:fldCharType="separate"/>
        </w:r>
        <w:r>
          <w:rPr>
            <w:noProof/>
            <w:webHidden/>
          </w:rPr>
          <w:t>34</w:t>
        </w:r>
        <w:r>
          <w:rPr>
            <w:noProof/>
            <w:webHidden/>
          </w:rPr>
          <w:fldChar w:fldCharType="end"/>
        </w:r>
      </w:hyperlink>
    </w:p>
    <w:p w14:paraId="4D16E74E" w14:textId="77777777" w:rsidR="001C37C9" w:rsidRDefault="001C37C9">
      <w:pPr>
        <w:pStyle w:val="TOC3"/>
        <w:rPr>
          <w:rFonts w:asciiTheme="minorHAnsi" w:eastAsiaTheme="minorEastAsia" w:hAnsiTheme="minorHAnsi" w:cstheme="minorBidi"/>
          <w:noProof/>
          <w:sz w:val="22"/>
          <w:szCs w:val="22"/>
        </w:rPr>
      </w:pPr>
      <w:hyperlink w:anchor="_Toc415761839" w:history="1">
        <w:r w:rsidRPr="00870E05">
          <w:rPr>
            <w:rStyle w:val="Hyperlink"/>
            <w:noProof/>
          </w:rPr>
          <w:t>5.2.2 Development of Reference Loads and Load Impacts</w:t>
        </w:r>
        <w:r>
          <w:rPr>
            <w:noProof/>
            <w:webHidden/>
          </w:rPr>
          <w:tab/>
        </w:r>
        <w:r>
          <w:rPr>
            <w:noProof/>
            <w:webHidden/>
          </w:rPr>
          <w:fldChar w:fldCharType="begin"/>
        </w:r>
        <w:r>
          <w:rPr>
            <w:noProof/>
            <w:webHidden/>
          </w:rPr>
          <w:instrText xml:space="preserve"> PAGEREF _Toc415761839 \h </w:instrText>
        </w:r>
        <w:r>
          <w:rPr>
            <w:noProof/>
            <w:webHidden/>
          </w:rPr>
        </w:r>
        <w:r>
          <w:rPr>
            <w:noProof/>
            <w:webHidden/>
          </w:rPr>
          <w:fldChar w:fldCharType="separate"/>
        </w:r>
        <w:r>
          <w:rPr>
            <w:noProof/>
            <w:webHidden/>
          </w:rPr>
          <w:t>34</w:t>
        </w:r>
        <w:r>
          <w:rPr>
            <w:noProof/>
            <w:webHidden/>
          </w:rPr>
          <w:fldChar w:fldCharType="end"/>
        </w:r>
      </w:hyperlink>
    </w:p>
    <w:p w14:paraId="02B485F7"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40" w:history="1">
        <w:r w:rsidRPr="00870E05">
          <w:rPr>
            <w:rStyle w:val="Hyperlink"/>
            <w:noProof/>
          </w:rPr>
          <w:t>5.3 Enrollment Forecasts</w:t>
        </w:r>
        <w:r>
          <w:rPr>
            <w:noProof/>
            <w:webHidden/>
          </w:rPr>
          <w:tab/>
        </w:r>
        <w:r>
          <w:rPr>
            <w:noProof/>
            <w:webHidden/>
          </w:rPr>
          <w:fldChar w:fldCharType="begin"/>
        </w:r>
        <w:r>
          <w:rPr>
            <w:noProof/>
            <w:webHidden/>
          </w:rPr>
          <w:instrText xml:space="preserve"> PAGEREF _Toc415761840 \h </w:instrText>
        </w:r>
        <w:r>
          <w:rPr>
            <w:noProof/>
            <w:webHidden/>
          </w:rPr>
        </w:r>
        <w:r>
          <w:rPr>
            <w:noProof/>
            <w:webHidden/>
          </w:rPr>
          <w:fldChar w:fldCharType="separate"/>
        </w:r>
        <w:r>
          <w:rPr>
            <w:noProof/>
            <w:webHidden/>
          </w:rPr>
          <w:t>38</w:t>
        </w:r>
        <w:r>
          <w:rPr>
            <w:noProof/>
            <w:webHidden/>
          </w:rPr>
          <w:fldChar w:fldCharType="end"/>
        </w:r>
      </w:hyperlink>
    </w:p>
    <w:p w14:paraId="6283F40C"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41" w:history="1">
        <w:r w:rsidRPr="00870E05">
          <w:rPr>
            <w:rStyle w:val="Hyperlink"/>
            <w:noProof/>
          </w:rPr>
          <w:t>5.4 Reference Loads and Load Impacts</w:t>
        </w:r>
        <w:r>
          <w:rPr>
            <w:noProof/>
            <w:webHidden/>
          </w:rPr>
          <w:tab/>
        </w:r>
        <w:r>
          <w:rPr>
            <w:noProof/>
            <w:webHidden/>
          </w:rPr>
          <w:fldChar w:fldCharType="begin"/>
        </w:r>
        <w:r>
          <w:rPr>
            <w:noProof/>
            <w:webHidden/>
          </w:rPr>
          <w:instrText xml:space="preserve"> PAGEREF _Toc415761841 \h </w:instrText>
        </w:r>
        <w:r>
          <w:rPr>
            <w:noProof/>
            <w:webHidden/>
          </w:rPr>
        </w:r>
        <w:r>
          <w:rPr>
            <w:noProof/>
            <w:webHidden/>
          </w:rPr>
          <w:fldChar w:fldCharType="separate"/>
        </w:r>
        <w:r>
          <w:rPr>
            <w:noProof/>
            <w:webHidden/>
          </w:rPr>
          <w:t>39</w:t>
        </w:r>
        <w:r>
          <w:rPr>
            <w:noProof/>
            <w:webHidden/>
          </w:rPr>
          <w:fldChar w:fldCharType="end"/>
        </w:r>
      </w:hyperlink>
    </w:p>
    <w:p w14:paraId="7B366DB7" w14:textId="77777777" w:rsidR="001C37C9" w:rsidRDefault="001C37C9">
      <w:pPr>
        <w:pStyle w:val="TOC3"/>
        <w:rPr>
          <w:rFonts w:asciiTheme="minorHAnsi" w:eastAsiaTheme="minorEastAsia" w:hAnsiTheme="minorHAnsi" w:cstheme="minorBidi"/>
          <w:noProof/>
          <w:sz w:val="22"/>
          <w:szCs w:val="22"/>
        </w:rPr>
      </w:pPr>
      <w:hyperlink w:anchor="_Toc415761842" w:history="1">
        <w:r w:rsidRPr="00870E05">
          <w:rPr>
            <w:rStyle w:val="Hyperlink"/>
            <w:noProof/>
          </w:rPr>
          <w:t>5.4.1 PG&amp;E</w:t>
        </w:r>
        <w:r>
          <w:rPr>
            <w:noProof/>
            <w:webHidden/>
          </w:rPr>
          <w:tab/>
        </w:r>
        <w:r>
          <w:rPr>
            <w:noProof/>
            <w:webHidden/>
          </w:rPr>
          <w:fldChar w:fldCharType="begin"/>
        </w:r>
        <w:r>
          <w:rPr>
            <w:noProof/>
            <w:webHidden/>
          </w:rPr>
          <w:instrText xml:space="preserve"> PAGEREF _Toc415761842 \h </w:instrText>
        </w:r>
        <w:r>
          <w:rPr>
            <w:noProof/>
            <w:webHidden/>
          </w:rPr>
        </w:r>
        <w:r>
          <w:rPr>
            <w:noProof/>
            <w:webHidden/>
          </w:rPr>
          <w:fldChar w:fldCharType="separate"/>
        </w:r>
        <w:r>
          <w:rPr>
            <w:noProof/>
            <w:webHidden/>
          </w:rPr>
          <w:t>40</w:t>
        </w:r>
        <w:r>
          <w:rPr>
            <w:noProof/>
            <w:webHidden/>
          </w:rPr>
          <w:fldChar w:fldCharType="end"/>
        </w:r>
      </w:hyperlink>
    </w:p>
    <w:p w14:paraId="721BF1E6" w14:textId="77777777" w:rsidR="001C37C9" w:rsidRDefault="001C37C9">
      <w:pPr>
        <w:pStyle w:val="TOC3"/>
        <w:rPr>
          <w:rFonts w:asciiTheme="minorHAnsi" w:eastAsiaTheme="minorEastAsia" w:hAnsiTheme="minorHAnsi" w:cstheme="minorBidi"/>
          <w:noProof/>
          <w:sz w:val="22"/>
          <w:szCs w:val="22"/>
        </w:rPr>
      </w:pPr>
      <w:hyperlink w:anchor="_Toc415761843" w:history="1">
        <w:r w:rsidRPr="00870E05">
          <w:rPr>
            <w:rStyle w:val="Hyperlink"/>
            <w:noProof/>
          </w:rPr>
          <w:t>5.4.2 SCE</w:t>
        </w:r>
        <w:r>
          <w:rPr>
            <w:noProof/>
            <w:webHidden/>
          </w:rPr>
          <w:tab/>
        </w:r>
        <w:r>
          <w:rPr>
            <w:noProof/>
            <w:webHidden/>
          </w:rPr>
          <w:fldChar w:fldCharType="begin"/>
        </w:r>
        <w:r>
          <w:rPr>
            <w:noProof/>
            <w:webHidden/>
          </w:rPr>
          <w:instrText xml:space="preserve"> PAGEREF _Toc415761843 \h </w:instrText>
        </w:r>
        <w:r>
          <w:rPr>
            <w:noProof/>
            <w:webHidden/>
          </w:rPr>
        </w:r>
        <w:r>
          <w:rPr>
            <w:noProof/>
            <w:webHidden/>
          </w:rPr>
          <w:fldChar w:fldCharType="separate"/>
        </w:r>
        <w:r>
          <w:rPr>
            <w:noProof/>
            <w:webHidden/>
          </w:rPr>
          <w:t>43</w:t>
        </w:r>
        <w:r>
          <w:rPr>
            <w:noProof/>
            <w:webHidden/>
          </w:rPr>
          <w:fldChar w:fldCharType="end"/>
        </w:r>
      </w:hyperlink>
    </w:p>
    <w:p w14:paraId="351BFE77" w14:textId="77777777" w:rsidR="001C37C9" w:rsidRDefault="001C37C9">
      <w:pPr>
        <w:pStyle w:val="TOC3"/>
        <w:rPr>
          <w:rFonts w:asciiTheme="minorHAnsi" w:eastAsiaTheme="minorEastAsia" w:hAnsiTheme="minorHAnsi" w:cstheme="minorBidi"/>
          <w:noProof/>
          <w:sz w:val="22"/>
          <w:szCs w:val="22"/>
        </w:rPr>
      </w:pPr>
      <w:hyperlink w:anchor="_Toc415761844" w:history="1">
        <w:r w:rsidRPr="00870E05">
          <w:rPr>
            <w:rStyle w:val="Hyperlink"/>
            <w:noProof/>
          </w:rPr>
          <w:t>5.4.3 SDG&amp;E</w:t>
        </w:r>
        <w:r>
          <w:rPr>
            <w:noProof/>
            <w:webHidden/>
          </w:rPr>
          <w:tab/>
        </w:r>
        <w:r>
          <w:rPr>
            <w:noProof/>
            <w:webHidden/>
          </w:rPr>
          <w:fldChar w:fldCharType="begin"/>
        </w:r>
        <w:r>
          <w:rPr>
            <w:noProof/>
            <w:webHidden/>
          </w:rPr>
          <w:instrText xml:space="preserve"> PAGEREF _Toc415761844 \h </w:instrText>
        </w:r>
        <w:r>
          <w:rPr>
            <w:noProof/>
            <w:webHidden/>
          </w:rPr>
        </w:r>
        <w:r>
          <w:rPr>
            <w:noProof/>
            <w:webHidden/>
          </w:rPr>
          <w:fldChar w:fldCharType="separate"/>
        </w:r>
        <w:r>
          <w:rPr>
            <w:noProof/>
            <w:webHidden/>
          </w:rPr>
          <w:t>47</w:t>
        </w:r>
        <w:r>
          <w:rPr>
            <w:noProof/>
            <w:webHidden/>
          </w:rPr>
          <w:fldChar w:fldCharType="end"/>
        </w:r>
      </w:hyperlink>
    </w:p>
    <w:p w14:paraId="0DFDE317" w14:textId="77777777" w:rsidR="001C37C9" w:rsidRDefault="001C37C9">
      <w:pPr>
        <w:pStyle w:val="TOC1"/>
        <w:rPr>
          <w:rFonts w:asciiTheme="minorHAnsi" w:eastAsiaTheme="minorEastAsia" w:hAnsiTheme="minorHAnsi" w:cstheme="minorBidi"/>
          <w:b w:val="0"/>
          <w:noProof/>
          <w:sz w:val="22"/>
          <w:szCs w:val="22"/>
        </w:rPr>
      </w:pPr>
      <w:hyperlink w:anchor="_Toc415761845" w:history="1">
        <w:r w:rsidRPr="00870E05">
          <w:rPr>
            <w:rStyle w:val="Hyperlink"/>
            <w:noProof/>
          </w:rPr>
          <w:t>6. Comparisons of Results</w:t>
        </w:r>
        <w:r>
          <w:rPr>
            <w:noProof/>
            <w:webHidden/>
          </w:rPr>
          <w:tab/>
        </w:r>
        <w:r>
          <w:rPr>
            <w:noProof/>
            <w:webHidden/>
          </w:rPr>
          <w:fldChar w:fldCharType="begin"/>
        </w:r>
        <w:r>
          <w:rPr>
            <w:noProof/>
            <w:webHidden/>
          </w:rPr>
          <w:instrText xml:space="preserve"> PAGEREF _Toc415761845 \h </w:instrText>
        </w:r>
        <w:r>
          <w:rPr>
            <w:noProof/>
            <w:webHidden/>
          </w:rPr>
        </w:r>
        <w:r>
          <w:rPr>
            <w:noProof/>
            <w:webHidden/>
          </w:rPr>
          <w:fldChar w:fldCharType="separate"/>
        </w:r>
        <w:r>
          <w:rPr>
            <w:noProof/>
            <w:webHidden/>
          </w:rPr>
          <w:t>49</w:t>
        </w:r>
        <w:r>
          <w:rPr>
            <w:noProof/>
            <w:webHidden/>
          </w:rPr>
          <w:fldChar w:fldCharType="end"/>
        </w:r>
      </w:hyperlink>
    </w:p>
    <w:p w14:paraId="5FFDA43F"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46" w:history="1">
        <w:r w:rsidRPr="00870E05">
          <w:rPr>
            <w:rStyle w:val="Hyperlink"/>
            <w:noProof/>
          </w:rPr>
          <w:t>6.1 PG&amp;E</w:t>
        </w:r>
        <w:r>
          <w:rPr>
            <w:noProof/>
            <w:webHidden/>
          </w:rPr>
          <w:tab/>
        </w:r>
        <w:r>
          <w:rPr>
            <w:noProof/>
            <w:webHidden/>
          </w:rPr>
          <w:fldChar w:fldCharType="begin"/>
        </w:r>
        <w:r>
          <w:rPr>
            <w:noProof/>
            <w:webHidden/>
          </w:rPr>
          <w:instrText xml:space="preserve"> PAGEREF _Toc415761846 \h </w:instrText>
        </w:r>
        <w:r>
          <w:rPr>
            <w:noProof/>
            <w:webHidden/>
          </w:rPr>
        </w:r>
        <w:r>
          <w:rPr>
            <w:noProof/>
            <w:webHidden/>
          </w:rPr>
          <w:fldChar w:fldCharType="separate"/>
        </w:r>
        <w:r>
          <w:rPr>
            <w:noProof/>
            <w:webHidden/>
          </w:rPr>
          <w:t>49</w:t>
        </w:r>
        <w:r>
          <w:rPr>
            <w:noProof/>
            <w:webHidden/>
          </w:rPr>
          <w:fldChar w:fldCharType="end"/>
        </w:r>
      </w:hyperlink>
    </w:p>
    <w:p w14:paraId="2092FC40" w14:textId="77777777" w:rsidR="001C37C9" w:rsidRDefault="001C37C9">
      <w:pPr>
        <w:pStyle w:val="TOC3"/>
        <w:rPr>
          <w:rFonts w:asciiTheme="minorHAnsi" w:eastAsiaTheme="minorEastAsia" w:hAnsiTheme="minorHAnsi" w:cstheme="minorBidi"/>
          <w:noProof/>
          <w:sz w:val="22"/>
          <w:szCs w:val="22"/>
        </w:rPr>
      </w:pPr>
      <w:hyperlink w:anchor="_Toc415761847" w:history="1">
        <w:r w:rsidRPr="00870E05">
          <w:rPr>
            <w:rStyle w:val="Hyperlink"/>
            <w:noProof/>
          </w:rPr>
          <w:t xml:space="preserve">6.1.1 Previous versus current </w:t>
        </w:r>
        <w:r w:rsidRPr="00870E05">
          <w:rPr>
            <w:rStyle w:val="Hyperlink"/>
            <w:i/>
            <w:noProof/>
          </w:rPr>
          <w:t>ex-post</w:t>
        </w:r>
        <w:r>
          <w:rPr>
            <w:noProof/>
            <w:webHidden/>
          </w:rPr>
          <w:tab/>
        </w:r>
        <w:r>
          <w:rPr>
            <w:noProof/>
            <w:webHidden/>
          </w:rPr>
          <w:fldChar w:fldCharType="begin"/>
        </w:r>
        <w:r>
          <w:rPr>
            <w:noProof/>
            <w:webHidden/>
          </w:rPr>
          <w:instrText xml:space="preserve"> PAGEREF _Toc415761847 \h </w:instrText>
        </w:r>
        <w:r>
          <w:rPr>
            <w:noProof/>
            <w:webHidden/>
          </w:rPr>
        </w:r>
        <w:r>
          <w:rPr>
            <w:noProof/>
            <w:webHidden/>
          </w:rPr>
          <w:fldChar w:fldCharType="separate"/>
        </w:r>
        <w:r>
          <w:rPr>
            <w:noProof/>
            <w:webHidden/>
          </w:rPr>
          <w:t>49</w:t>
        </w:r>
        <w:r>
          <w:rPr>
            <w:noProof/>
            <w:webHidden/>
          </w:rPr>
          <w:fldChar w:fldCharType="end"/>
        </w:r>
      </w:hyperlink>
    </w:p>
    <w:p w14:paraId="41E3E44A" w14:textId="77777777" w:rsidR="001C37C9" w:rsidRDefault="001C37C9">
      <w:pPr>
        <w:pStyle w:val="TOC3"/>
        <w:rPr>
          <w:rFonts w:asciiTheme="minorHAnsi" w:eastAsiaTheme="minorEastAsia" w:hAnsiTheme="minorHAnsi" w:cstheme="minorBidi"/>
          <w:noProof/>
          <w:sz w:val="22"/>
          <w:szCs w:val="22"/>
        </w:rPr>
      </w:pPr>
      <w:hyperlink w:anchor="_Toc415761848" w:history="1">
        <w:r w:rsidRPr="00870E05">
          <w:rPr>
            <w:rStyle w:val="Hyperlink"/>
            <w:noProof/>
          </w:rPr>
          <w:t xml:space="preserve">6.1.2 Previous versus current </w:t>
        </w:r>
        <w:r w:rsidRPr="00870E05">
          <w:rPr>
            <w:rStyle w:val="Hyperlink"/>
            <w:i/>
            <w:noProof/>
          </w:rPr>
          <w:t>ex-ante</w:t>
        </w:r>
        <w:r>
          <w:rPr>
            <w:noProof/>
            <w:webHidden/>
          </w:rPr>
          <w:tab/>
        </w:r>
        <w:r>
          <w:rPr>
            <w:noProof/>
            <w:webHidden/>
          </w:rPr>
          <w:fldChar w:fldCharType="begin"/>
        </w:r>
        <w:r>
          <w:rPr>
            <w:noProof/>
            <w:webHidden/>
          </w:rPr>
          <w:instrText xml:space="preserve"> PAGEREF _Toc415761848 \h </w:instrText>
        </w:r>
        <w:r>
          <w:rPr>
            <w:noProof/>
            <w:webHidden/>
          </w:rPr>
        </w:r>
        <w:r>
          <w:rPr>
            <w:noProof/>
            <w:webHidden/>
          </w:rPr>
          <w:fldChar w:fldCharType="separate"/>
        </w:r>
        <w:r>
          <w:rPr>
            <w:noProof/>
            <w:webHidden/>
          </w:rPr>
          <w:t>50</w:t>
        </w:r>
        <w:r>
          <w:rPr>
            <w:noProof/>
            <w:webHidden/>
          </w:rPr>
          <w:fldChar w:fldCharType="end"/>
        </w:r>
      </w:hyperlink>
    </w:p>
    <w:p w14:paraId="5EB9B7D5" w14:textId="77777777" w:rsidR="001C37C9" w:rsidRDefault="001C37C9">
      <w:pPr>
        <w:pStyle w:val="TOC3"/>
        <w:rPr>
          <w:rFonts w:asciiTheme="minorHAnsi" w:eastAsiaTheme="minorEastAsia" w:hAnsiTheme="minorHAnsi" w:cstheme="minorBidi"/>
          <w:noProof/>
          <w:sz w:val="22"/>
          <w:szCs w:val="22"/>
        </w:rPr>
      </w:pPr>
      <w:hyperlink w:anchor="_Toc415761849" w:history="1">
        <w:r w:rsidRPr="00870E05">
          <w:rPr>
            <w:rStyle w:val="Hyperlink"/>
            <w:noProof/>
          </w:rPr>
          <w:t xml:space="preserve">6.1.3 Previous </w:t>
        </w:r>
        <w:r w:rsidRPr="00870E05">
          <w:rPr>
            <w:rStyle w:val="Hyperlink"/>
            <w:i/>
            <w:noProof/>
          </w:rPr>
          <w:t>ex-ante</w:t>
        </w:r>
        <w:r w:rsidRPr="00870E05">
          <w:rPr>
            <w:rStyle w:val="Hyperlink"/>
            <w:noProof/>
          </w:rPr>
          <w:t xml:space="preserve"> versus current </w:t>
        </w:r>
        <w:r w:rsidRPr="00870E05">
          <w:rPr>
            <w:rStyle w:val="Hyperlink"/>
            <w:i/>
            <w:noProof/>
          </w:rPr>
          <w:t>ex-post</w:t>
        </w:r>
        <w:r>
          <w:rPr>
            <w:noProof/>
            <w:webHidden/>
          </w:rPr>
          <w:tab/>
        </w:r>
        <w:r>
          <w:rPr>
            <w:noProof/>
            <w:webHidden/>
          </w:rPr>
          <w:fldChar w:fldCharType="begin"/>
        </w:r>
        <w:r>
          <w:rPr>
            <w:noProof/>
            <w:webHidden/>
          </w:rPr>
          <w:instrText xml:space="preserve"> PAGEREF _Toc415761849 \h </w:instrText>
        </w:r>
        <w:r>
          <w:rPr>
            <w:noProof/>
            <w:webHidden/>
          </w:rPr>
        </w:r>
        <w:r>
          <w:rPr>
            <w:noProof/>
            <w:webHidden/>
          </w:rPr>
          <w:fldChar w:fldCharType="separate"/>
        </w:r>
        <w:r>
          <w:rPr>
            <w:noProof/>
            <w:webHidden/>
          </w:rPr>
          <w:t>51</w:t>
        </w:r>
        <w:r>
          <w:rPr>
            <w:noProof/>
            <w:webHidden/>
          </w:rPr>
          <w:fldChar w:fldCharType="end"/>
        </w:r>
      </w:hyperlink>
    </w:p>
    <w:p w14:paraId="15CE5520" w14:textId="77777777" w:rsidR="001C37C9" w:rsidRDefault="001C37C9">
      <w:pPr>
        <w:pStyle w:val="TOC3"/>
        <w:rPr>
          <w:rFonts w:asciiTheme="minorHAnsi" w:eastAsiaTheme="minorEastAsia" w:hAnsiTheme="minorHAnsi" w:cstheme="minorBidi"/>
          <w:noProof/>
          <w:sz w:val="22"/>
          <w:szCs w:val="22"/>
        </w:rPr>
      </w:pPr>
      <w:hyperlink w:anchor="_Toc415761850" w:history="1">
        <w:r w:rsidRPr="00870E05">
          <w:rPr>
            <w:rStyle w:val="Hyperlink"/>
            <w:noProof/>
          </w:rPr>
          <w:t xml:space="preserve">6.1.4 Current </w:t>
        </w:r>
        <w:r w:rsidRPr="00870E05">
          <w:rPr>
            <w:rStyle w:val="Hyperlink"/>
            <w:i/>
            <w:noProof/>
          </w:rPr>
          <w:t>ex-post</w:t>
        </w:r>
        <w:r w:rsidRPr="00870E05">
          <w:rPr>
            <w:rStyle w:val="Hyperlink"/>
            <w:noProof/>
          </w:rPr>
          <w:t xml:space="preserve"> versus current </w:t>
        </w:r>
        <w:r w:rsidRPr="00870E05">
          <w:rPr>
            <w:rStyle w:val="Hyperlink"/>
            <w:i/>
            <w:noProof/>
          </w:rPr>
          <w:t>ex-ante</w:t>
        </w:r>
        <w:r>
          <w:rPr>
            <w:noProof/>
            <w:webHidden/>
          </w:rPr>
          <w:tab/>
        </w:r>
        <w:r>
          <w:rPr>
            <w:noProof/>
            <w:webHidden/>
          </w:rPr>
          <w:fldChar w:fldCharType="begin"/>
        </w:r>
        <w:r>
          <w:rPr>
            <w:noProof/>
            <w:webHidden/>
          </w:rPr>
          <w:instrText xml:space="preserve"> PAGEREF _Toc415761850 \h </w:instrText>
        </w:r>
        <w:r>
          <w:rPr>
            <w:noProof/>
            <w:webHidden/>
          </w:rPr>
        </w:r>
        <w:r>
          <w:rPr>
            <w:noProof/>
            <w:webHidden/>
          </w:rPr>
          <w:fldChar w:fldCharType="separate"/>
        </w:r>
        <w:r>
          <w:rPr>
            <w:noProof/>
            <w:webHidden/>
          </w:rPr>
          <w:t>52</w:t>
        </w:r>
        <w:r>
          <w:rPr>
            <w:noProof/>
            <w:webHidden/>
          </w:rPr>
          <w:fldChar w:fldCharType="end"/>
        </w:r>
      </w:hyperlink>
    </w:p>
    <w:p w14:paraId="27A471EF"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51" w:history="1">
        <w:r w:rsidRPr="00870E05">
          <w:rPr>
            <w:rStyle w:val="Hyperlink"/>
            <w:noProof/>
          </w:rPr>
          <w:t>6.2 SCE</w:t>
        </w:r>
        <w:r>
          <w:rPr>
            <w:noProof/>
            <w:webHidden/>
          </w:rPr>
          <w:tab/>
        </w:r>
        <w:r>
          <w:rPr>
            <w:noProof/>
            <w:webHidden/>
          </w:rPr>
          <w:fldChar w:fldCharType="begin"/>
        </w:r>
        <w:r>
          <w:rPr>
            <w:noProof/>
            <w:webHidden/>
          </w:rPr>
          <w:instrText xml:space="preserve"> PAGEREF _Toc415761851 \h </w:instrText>
        </w:r>
        <w:r>
          <w:rPr>
            <w:noProof/>
            <w:webHidden/>
          </w:rPr>
        </w:r>
        <w:r>
          <w:rPr>
            <w:noProof/>
            <w:webHidden/>
          </w:rPr>
          <w:fldChar w:fldCharType="separate"/>
        </w:r>
        <w:r>
          <w:rPr>
            <w:noProof/>
            <w:webHidden/>
          </w:rPr>
          <w:t>54</w:t>
        </w:r>
        <w:r>
          <w:rPr>
            <w:noProof/>
            <w:webHidden/>
          </w:rPr>
          <w:fldChar w:fldCharType="end"/>
        </w:r>
      </w:hyperlink>
    </w:p>
    <w:p w14:paraId="6AB3B856" w14:textId="77777777" w:rsidR="001C37C9" w:rsidRDefault="001C37C9">
      <w:pPr>
        <w:pStyle w:val="TOC3"/>
        <w:rPr>
          <w:rFonts w:asciiTheme="minorHAnsi" w:eastAsiaTheme="minorEastAsia" w:hAnsiTheme="minorHAnsi" w:cstheme="minorBidi"/>
          <w:noProof/>
          <w:sz w:val="22"/>
          <w:szCs w:val="22"/>
        </w:rPr>
      </w:pPr>
      <w:hyperlink w:anchor="_Toc415761852" w:history="1">
        <w:r w:rsidRPr="00870E05">
          <w:rPr>
            <w:rStyle w:val="Hyperlink"/>
            <w:noProof/>
          </w:rPr>
          <w:t xml:space="preserve">6.2.1 Previous versus current </w:t>
        </w:r>
        <w:r w:rsidRPr="00870E05">
          <w:rPr>
            <w:rStyle w:val="Hyperlink"/>
            <w:i/>
            <w:noProof/>
          </w:rPr>
          <w:t>ex-post</w:t>
        </w:r>
        <w:r>
          <w:rPr>
            <w:noProof/>
            <w:webHidden/>
          </w:rPr>
          <w:tab/>
        </w:r>
        <w:r>
          <w:rPr>
            <w:noProof/>
            <w:webHidden/>
          </w:rPr>
          <w:fldChar w:fldCharType="begin"/>
        </w:r>
        <w:r>
          <w:rPr>
            <w:noProof/>
            <w:webHidden/>
          </w:rPr>
          <w:instrText xml:space="preserve"> PAGEREF _Toc415761852 \h </w:instrText>
        </w:r>
        <w:r>
          <w:rPr>
            <w:noProof/>
            <w:webHidden/>
          </w:rPr>
        </w:r>
        <w:r>
          <w:rPr>
            <w:noProof/>
            <w:webHidden/>
          </w:rPr>
          <w:fldChar w:fldCharType="separate"/>
        </w:r>
        <w:r>
          <w:rPr>
            <w:noProof/>
            <w:webHidden/>
          </w:rPr>
          <w:t>54</w:t>
        </w:r>
        <w:r>
          <w:rPr>
            <w:noProof/>
            <w:webHidden/>
          </w:rPr>
          <w:fldChar w:fldCharType="end"/>
        </w:r>
      </w:hyperlink>
    </w:p>
    <w:p w14:paraId="0BB3A545" w14:textId="77777777" w:rsidR="001C37C9" w:rsidRDefault="001C37C9">
      <w:pPr>
        <w:pStyle w:val="TOC3"/>
        <w:rPr>
          <w:rFonts w:asciiTheme="minorHAnsi" w:eastAsiaTheme="minorEastAsia" w:hAnsiTheme="minorHAnsi" w:cstheme="minorBidi"/>
          <w:noProof/>
          <w:sz w:val="22"/>
          <w:szCs w:val="22"/>
        </w:rPr>
      </w:pPr>
      <w:hyperlink w:anchor="_Toc415761853" w:history="1">
        <w:r w:rsidRPr="00870E05">
          <w:rPr>
            <w:rStyle w:val="Hyperlink"/>
            <w:noProof/>
          </w:rPr>
          <w:t xml:space="preserve">6.2.2 Previous versus current </w:t>
        </w:r>
        <w:r w:rsidRPr="00870E05">
          <w:rPr>
            <w:rStyle w:val="Hyperlink"/>
            <w:i/>
            <w:noProof/>
          </w:rPr>
          <w:t>ex-ante</w:t>
        </w:r>
        <w:r>
          <w:rPr>
            <w:noProof/>
            <w:webHidden/>
          </w:rPr>
          <w:tab/>
        </w:r>
        <w:r>
          <w:rPr>
            <w:noProof/>
            <w:webHidden/>
          </w:rPr>
          <w:fldChar w:fldCharType="begin"/>
        </w:r>
        <w:r>
          <w:rPr>
            <w:noProof/>
            <w:webHidden/>
          </w:rPr>
          <w:instrText xml:space="preserve"> PAGEREF _Toc415761853 \h </w:instrText>
        </w:r>
        <w:r>
          <w:rPr>
            <w:noProof/>
            <w:webHidden/>
          </w:rPr>
        </w:r>
        <w:r>
          <w:rPr>
            <w:noProof/>
            <w:webHidden/>
          </w:rPr>
          <w:fldChar w:fldCharType="separate"/>
        </w:r>
        <w:r>
          <w:rPr>
            <w:noProof/>
            <w:webHidden/>
          </w:rPr>
          <w:t>54</w:t>
        </w:r>
        <w:r>
          <w:rPr>
            <w:noProof/>
            <w:webHidden/>
          </w:rPr>
          <w:fldChar w:fldCharType="end"/>
        </w:r>
      </w:hyperlink>
    </w:p>
    <w:p w14:paraId="05D7FC5F" w14:textId="77777777" w:rsidR="001C37C9" w:rsidRDefault="001C37C9">
      <w:pPr>
        <w:pStyle w:val="TOC3"/>
        <w:rPr>
          <w:rFonts w:asciiTheme="minorHAnsi" w:eastAsiaTheme="minorEastAsia" w:hAnsiTheme="minorHAnsi" w:cstheme="minorBidi"/>
          <w:noProof/>
          <w:sz w:val="22"/>
          <w:szCs w:val="22"/>
        </w:rPr>
      </w:pPr>
      <w:hyperlink w:anchor="_Toc415761854" w:history="1">
        <w:r w:rsidRPr="00870E05">
          <w:rPr>
            <w:rStyle w:val="Hyperlink"/>
            <w:noProof/>
          </w:rPr>
          <w:t xml:space="preserve">6.2.3 Previous </w:t>
        </w:r>
        <w:r w:rsidRPr="00870E05">
          <w:rPr>
            <w:rStyle w:val="Hyperlink"/>
            <w:i/>
            <w:noProof/>
          </w:rPr>
          <w:t>ex-ante</w:t>
        </w:r>
        <w:r w:rsidRPr="00870E05">
          <w:rPr>
            <w:rStyle w:val="Hyperlink"/>
            <w:noProof/>
          </w:rPr>
          <w:t xml:space="preserve"> versus current </w:t>
        </w:r>
        <w:r w:rsidRPr="00870E05">
          <w:rPr>
            <w:rStyle w:val="Hyperlink"/>
            <w:i/>
            <w:noProof/>
          </w:rPr>
          <w:t>ex-post</w:t>
        </w:r>
        <w:r>
          <w:rPr>
            <w:noProof/>
            <w:webHidden/>
          </w:rPr>
          <w:tab/>
        </w:r>
        <w:r>
          <w:rPr>
            <w:noProof/>
            <w:webHidden/>
          </w:rPr>
          <w:fldChar w:fldCharType="begin"/>
        </w:r>
        <w:r>
          <w:rPr>
            <w:noProof/>
            <w:webHidden/>
          </w:rPr>
          <w:instrText xml:space="preserve"> PAGEREF _Toc415761854 \h </w:instrText>
        </w:r>
        <w:r>
          <w:rPr>
            <w:noProof/>
            <w:webHidden/>
          </w:rPr>
        </w:r>
        <w:r>
          <w:rPr>
            <w:noProof/>
            <w:webHidden/>
          </w:rPr>
          <w:fldChar w:fldCharType="separate"/>
        </w:r>
        <w:r>
          <w:rPr>
            <w:noProof/>
            <w:webHidden/>
          </w:rPr>
          <w:t>55</w:t>
        </w:r>
        <w:r>
          <w:rPr>
            <w:noProof/>
            <w:webHidden/>
          </w:rPr>
          <w:fldChar w:fldCharType="end"/>
        </w:r>
      </w:hyperlink>
    </w:p>
    <w:p w14:paraId="49F973BF" w14:textId="77777777" w:rsidR="001C37C9" w:rsidRDefault="001C37C9">
      <w:pPr>
        <w:pStyle w:val="TOC3"/>
        <w:rPr>
          <w:rFonts w:asciiTheme="minorHAnsi" w:eastAsiaTheme="minorEastAsia" w:hAnsiTheme="minorHAnsi" w:cstheme="minorBidi"/>
          <w:noProof/>
          <w:sz w:val="22"/>
          <w:szCs w:val="22"/>
        </w:rPr>
      </w:pPr>
      <w:hyperlink w:anchor="_Toc415761855" w:history="1">
        <w:r w:rsidRPr="00870E05">
          <w:rPr>
            <w:rStyle w:val="Hyperlink"/>
            <w:noProof/>
          </w:rPr>
          <w:t xml:space="preserve">6.2.4 Current </w:t>
        </w:r>
        <w:r w:rsidRPr="00870E05">
          <w:rPr>
            <w:rStyle w:val="Hyperlink"/>
            <w:i/>
            <w:noProof/>
          </w:rPr>
          <w:t>ex-post</w:t>
        </w:r>
        <w:r w:rsidRPr="00870E05">
          <w:rPr>
            <w:rStyle w:val="Hyperlink"/>
            <w:noProof/>
          </w:rPr>
          <w:t xml:space="preserve"> versus current </w:t>
        </w:r>
        <w:r w:rsidRPr="00870E05">
          <w:rPr>
            <w:rStyle w:val="Hyperlink"/>
            <w:i/>
            <w:noProof/>
          </w:rPr>
          <w:t>ex-ante</w:t>
        </w:r>
        <w:r>
          <w:rPr>
            <w:noProof/>
            <w:webHidden/>
          </w:rPr>
          <w:tab/>
        </w:r>
        <w:r>
          <w:rPr>
            <w:noProof/>
            <w:webHidden/>
          </w:rPr>
          <w:fldChar w:fldCharType="begin"/>
        </w:r>
        <w:r>
          <w:rPr>
            <w:noProof/>
            <w:webHidden/>
          </w:rPr>
          <w:instrText xml:space="preserve"> PAGEREF _Toc415761855 \h </w:instrText>
        </w:r>
        <w:r>
          <w:rPr>
            <w:noProof/>
            <w:webHidden/>
          </w:rPr>
        </w:r>
        <w:r>
          <w:rPr>
            <w:noProof/>
            <w:webHidden/>
          </w:rPr>
          <w:fldChar w:fldCharType="separate"/>
        </w:r>
        <w:r>
          <w:rPr>
            <w:noProof/>
            <w:webHidden/>
          </w:rPr>
          <w:t>56</w:t>
        </w:r>
        <w:r>
          <w:rPr>
            <w:noProof/>
            <w:webHidden/>
          </w:rPr>
          <w:fldChar w:fldCharType="end"/>
        </w:r>
      </w:hyperlink>
    </w:p>
    <w:p w14:paraId="01DA38D0"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56" w:history="1">
        <w:r w:rsidRPr="00870E05">
          <w:rPr>
            <w:rStyle w:val="Hyperlink"/>
            <w:noProof/>
          </w:rPr>
          <w:t>6.3 SDG&amp;E</w:t>
        </w:r>
        <w:r>
          <w:rPr>
            <w:noProof/>
            <w:webHidden/>
          </w:rPr>
          <w:tab/>
        </w:r>
        <w:r>
          <w:rPr>
            <w:noProof/>
            <w:webHidden/>
          </w:rPr>
          <w:fldChar w:fldCharType="begin"/>
        </w:r>
        <w:r>
          <w:rPr>
            <w:noProof/>
            <w:webHidden/>
          </w:rPr>
          <w:instrText xml:space="preserve"> PAGEREF _Toc415761856 \h </w:instrText>
        </w:r>
        <w:r>
          <w:rPr>
            <w:noProof/>
            <w:webHidden/>
          </w:rPr>
        </w:r>
        <w:r>
          <w:rPr>
            <w:noProof/>
            <w:webHidden/>
          </w:rPr>
          <w:fldChar w:fldCharType="separate"/>
        </w:r>
        <w:r>
          <w:rPr>
            <w:noProof/>
            <w:webHidden/>
          </w:rPr>
          <w:t>59</w:t>
        </w:r>
        <w:r>
          <w:rPr>
            <w:noProof/>
            <w:webHidden/>
          </w:rPr>
          <w:fldChar w:fldCharType="end"/>
        </w:r>
      </w:hyperlink>
    </w:p>
    <w:p w14:paraId="2BC22F8C" w14:textId="77777777" w:rsidR="001C37C9" w:rsidRDefault="001C37C9">
      <w:pPr>
        <w:pStyle w:val="TOC1"/>
        <w:rPr>
          <w:rFonts w:asciiTheme="minorHAnsi" w:eastAsiaTheme="minorEastAsia" w:hAnsiTheme="minorHAnsi" w:cstheme="minorBidi"/>
          <w:b w:val="0"/>
          <w:noProof/>
          <w:sz w:val="22"/>
          <w:szCs w:val="22"/>
        </w:rPr>
      </w:pPr>
      <w:hyperlink w:anchor="_Toc415761857" w:history="1">
        <w:r w:rsidRPr="00870E05">
          <w:rPr>
            <w:rStyle w:val="Hyperlink"/>
            <w:noProof/>
          </w:rPr>
          <w:t>7. Recommendations</w:t>
        </w:r>
        <w:r>
          <w:rPr>
            <w:noProof/>
            <w:webHidden/>
          </w:rPr>
          <w:tab/>
        </w:r>
        <w:r>
          <w:rPr>
            <w:noProof/>
            <w:webHidden/>
          </w:rPr>
          <w:fldChar w:fldCharType="begin"/>
        </w:r>
        <w:r>
          <w:rPr>
            <w:noProof/>
            <w:webHidden/>
          </w:rPr>
          <w:instrText xml:space="preserve"> PAGEREF _Toc415761857 \h </w:instrText>
        </w:r>
        <w:r>
          <w:rPr>
            <w:noProof/>
            <w:webHidden/>
          </w:rPr>
        </w:r>
        <w:r>
          <w:rPr>
            <w:noProof/>
            <w:webHidden/>
          </w:rPr>
          <w:fldChar w:fldCharType="separate"/>
        </w:r>
        <w:r>
          <w:rPr>
            <w:noProof/>
            <w:webHidden/>
          </w:rPr>
          <w:t>59</w:t>
        </w:r>
        <w:r>
          <w:rPr>
            <w:noProof/>
            <w:webHidden/>
          </w:rPr>
          <w:fldChar w:fldCharType="end"/>
        </w:r>
      </w:hyperlink>
    </w:p>
    <w:p w14:paraId="53A6D93D" w14:textId="77777777" w:rsidR="001C37C9" w:rsidRDefault="001C37C9">
      <w:pPr>
        <w:pStyle w:val="TOC1"/>
        <w:rPr>
          <w:rFonts w:asciiTheme="minorHAnsi" w:eastAsiaTheme="minorEastAsia" w:hAnsiTheme="minorHAnsi" w:cstheme="minorBidi"/>
          <w:b w:val="0"/>
          <w:noProof/>
          <w:sz w:val="22"/>
          <w:szCs w:val="22"/>
        </w:rPr>
      </w:pPr>
      <w:hyperlink w:anchor="_Toc415761858" w:history="1">
        <w:r w:rsidRPr="00870E05">
          <w:rPr>
            <w:rStyle w:val="Hyperlink"/>
            <w:noProof/>
          </w:rPr>
          <w:t>Appendices</w:t>
        </w:r>
        <w:r>
          <w:rPr>
            <w:noProof/>
            <w:webHidden/>
          </w:rPr>
          <w:tab/>
        </w:r>
        <w:r>
          <w:rPr>
            <w:noProof/>
            <w:webHidden/>
          </w:rPr>
          <w:fldChar w:fldCharType="begin"/>
        </w:r>
        <w:r>
          <w:rPr>
            <w:noProof/>
            <w:webHidden/>
          </w:rPr>
          <w:instrText xml:space="preserve"> PAGEREF _Toc415761858 \h </w:instrText>
        </w:r>
        <w:r>
          <w:rPr>
            <w:noProof/>
            <w:webHidden/>
          </w:rPr>
        </w:r>
        <w:r>
          <w:rPr>
            <w:noProof/>
            <w:webHidden/>
          </w:rPr>
          <w:fldChar w:fldCharType="separate"/>
        </w:r>
        <w:r>
          <w:rPr>
            <w:noProof/>
            <w:webHidden/>
          </w:rPr>
          <w:t>60</w:t>
        </w:r>
        <w:r>
          <w:rPr>
            <w:noProof/>
            <w:webHidden/>
          </w:rPr>
          <w:fldChar w:fldCharType="end"/>
        </w:r>
      </w:hyperlink>
    </w:p>
    <w:p w14:paraId="42E8DFAA" w14:textId="77777777" w:rsidR="001C37C9" w:rsidRDefault="001C37C9">
      <w:pPr>
        <w:pStyle w:val="TOC1"/>
        <w:rPr>
          <w:rFonts w:asciiTheme="minorHAnsi" w:eastAsiaTheme="minorEastAsia" w:hAnsiTheme="minorHAnsi" w:cstheme="minorBidi"/>
          <w:b w:val="0"/>
          <w:noProof/>
          <w:sz w:val="22"/>
          <w:szCs w:val="22"/>
        </w:rPr>
      </w:pPr>
      <w:hyperlink w:anchor="_Toc415761859" w:history="1">
        <w:r w:rsidRPr="00870E05">
          <w:rPr>
            <w:rStyle w:val="Hyperlink"/>
            <w:noProof/>
          </w:rPr>
          <w:t>Appendix A. Validity Assessment</w:t>
        </w:r>
        <w:r>
          <w:rPr>
            <w:noProof/>
            <w:webHidden/>
          </w:rPr>
          <w:tab/>
        </w:r>
        <w:r>
          <w:rPr>
            <w:noProof/>
            <w:webHidden/>
          </w:rPr>
          <w:fldChar w:fldCharType="begin"/>
        </w:r>
        <w:r>
          <w:rPr>
            <w:noProof/>
            <w:webHidden/>
          </w:rPr>
          <w:instrText xml:space="preserve"> PAGEREF _Toc415761859 \h </w:instrText>
        </w:r>
        <w:r>
          <w:rPr>
            <w:noProof/>
            <w:webHidden/>
          </w:rPr>
        </w:r>
        <w:r>
          <w:rPr>
            <w:noProof/>
            <w:webHidden/>
          </w:rPr>
          <w:fldChar w:fldCharType="separate"/>
        </w:r>
        <w:r>
          <w:rPr>
            <w:noProof/>
            <w:webHidden/>
          </w:rPr>
          <w:t>61</w:t>
        </w:r>
        <w:r>
          <w:rPr>
            <w:noProof/>
            <w:webHidden/>
          </w:rPr>
          <w:fldChar w:fldCharType="end"/>
        </w:r>
      </w:hyperlink>
    </w:p>
    <w:p w14:paraId="7AD942D0"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60" w:history="1">
        <w:r w:rsidRPr="00870E05">
          <w:rPr>
            <w:rStyle w:val="Hyperlink"/>
            <w:noProof/>
          </w:rPr>
          <w:t>A.1 Model Specification Tests</w:t>
        </w:r>
        <w:r>
          <w:rPr>
            <w:noProof/>
            <w:webHidden/>
          </w:rPr>
          <w:tab/>
        </w:r>
        <w:r>
          <w:rPr>
            <w:noProof/>
            <w:webHidden/>
          </w:rPr>
          <w:fldChar w:fldCharType="begin"/>
        </w:r>
        <w:r>
          <w:rPr>
            <w:noProof/>
            <w:webHidden/>
          </w:rPr>
          <w:instrText xml:space="preserve"> PAGEREF _Toc415761860 \h </w:instrText>
        </w:r>
        <w:r>
          <w:rPr>
            <w:noProof/>
            <w:webHidden/>
          </w:rPr>
        </w:r>
        <w:r>
          <w:rPr>
            <w:noProof/>
            <w:webHidden/>
          </w:rPr>
          <w:fldChar w:fldCharType="separate"/>
        </w:r>
        <w:r>
          <w:rPr>
            <w:noProof/>
            <w:webHidden/>
          </w:rPr>
          <w:t>61</w:t>
        </w:r>
        <w:r>
          <w:rPr>
            <w:noProof/>
            <w:webHidden/>
          </w:rPr>
          <w:fldChar w:fldCharType="end"/>
        </w:r>
      </w:hyperlink>
    </w:p>
    <w:p w14:paraId="7BE51F65" w14:textId="77777777" w:rsidR="001C37C9" w:rsidRDefault="001C37C9">
      <w:pPr>
        <w:pStyle w:val="TOC3"/>
        <w:rPr>
          <w:rFonts w:asciiTheme="minorHAnsi" w:eastAsiaTheme="minorEastAsia" w:hAnsiTheme="minorHAnsi" w:cstheme="minorBidi"/>
          <w:noProof/>
          <w:sz w:val="22"/>
          <w:szCs w:val="22"/>
        </w:rPr>
      </w:pPr>
      <w:hyperlink w:anchor="_Toc415761861" w:history="1">
        <w:r w:rsidRPr="00870E05">
          <w:rPr>
            <w:rStyle w:val="Hyperlink"/>
            <w:noProof/>
          </w:rPr>
          <w:t>A.1.1 Selection of Event-Like Non-Event Days</w:t>
        </w:r>
        <w:r>
          <w:rPr>
            <w:noProof/>
            <w:webHidden/>
          </w:rPr>
          <w:tab/>
        </w:r>
        <w:r>
          <w:rPr>
            <w:noProof/>
            <w:webHidden/>
          </w:rPr>
          <w:fldChar w:fldCharType="begin"/>
        </w:r>
        <w:r>
          <w:rPr>
            <w:noProof/>
            <w:webHidden/>
          </w:rPr>
          <w:instrText xml:space="preserve"> PAGEREF _Toc415761861 \h </w:instrText>
        </w:r>
        <w:r>
          <w:rPr>
            <w:noProof/>
            <w:webHidden/>
          </w:rPr>
        </w:r>
        <w:r>
          <w:rPr>
            <w:noProof/>
            <w:webHidden/>
          </w:rPr>
          <w:fldChar w:fldCharType="separate"/>
        </w:r>
        <w:r>
          <w:rPr>
            <w:noProof/>
            <w:webHidden/>
          </w:rPr>
          <w:t>63</w:t>
        </w:r>
        <w:r>
          <w:rPr>
            <w:noProof/>
            <w:webHidden/>
          </w:rPr>
          <w:fldChar w:fldCharType="end"/>
        </w:r>
      </w:hyperlink>
    </w:p>
    <w:p w14:paraId="1FF24D05" w14:textId="77777777" w:rsidR="001C37C9" w:rsidRDefault="001C37C9">
      <w:pPr>
        <w:pStyle w:val="TOC3"/>
        <w:rPr>
          <w:rFonts w:asciiTheme="minorHAnsi" w:eastAsiaTheme="minorEastAsia" w:hAnsiTheme="minorHAnsi" w:cstheme="minorBidi"/>
          <w:noProof/>
          <w:sz w:val="22"/>
          <w:szCs w:val="22"/>
        </w:rPr>
      </w:pPr>
      <w:hyperlink w:anchor="_Toc415761862" w:history="1">
        <w:r w:rsidRPr="00870E05">
          <w:rPr>
            <w:rStyle w:val="Hyperlink"/>
            <w:noProof/>
          </w:rPr>
          <w:t>A.1.2 Results from Tests of Alternative Weather Specifications</w:t>
        </w:r>
        <w:r>
          <w:rPr>
            <w:noProof/>
            <w:webHidden/>
          </w:rPr>
          <w:tab/>
        </w:r>
        <w:r>
          <w:rPr>
            <w:noProof/>
            <w:webHidden/>
          </w:rPr>
          <w:fldChar w:fldCharType="begin"/>
        </w:r>
        <w:r>
          <w:rPr>
            <w:noProof/>
            <w:webHidden/>
          </w:rPr>
          <w:instrText xml:space="preserve"> PAGEREF _Toc415761862 \h </w:instrText>
        </w:r>
        <w:r>
          <w:rPr>
            <w:noProof/>
            <w:webHidden/>
          </w:rPr>
        </w:r>
        <w:r>
          <w:rPr>
            <w:noProof/>
            <w:webHidden/>
          </w:rPr>
          <w:fldChar w:fldCharType="separate"/>
        </w:r>
        <w:r>
          <w:rPr>
            <w:noProof/>
            <w:webHidden/>
          </w:rPr>
          <w:t>63</w:t>
        </w:r>
        <w:r>
          <w:rPr>
            <w:noProof/>
            <w:webHidden/>
          </w:rPr>
          <w:fldChar w:fldCharType="end"/>
        </w:r>
      </w:hyperlink>
    </w:p>
    <w:p w14:paraId="2D817EE0" w14:textId="77777777" w:rsidR="001C37C9" w:rsidRDefault="001C37C9">
      <w:pPr>
        <w:pStyle w:val="TOC3"/>
        <w:rPr>
          <w:rFonts w:asciiTheme="minorHAnsi" w:eastAsiaTheme="minorEastAsia" w:hAnsiTheme="minorHAnsi" w:cstheme="minorBidi"/>
          <w:noProof/>
          <w:sz w:val="22"/>
          <w:szCs w:val="22"/>
        </w:rPr>
      </w:pPr>
      <w:hyperlink w:anchor="_Toc415761863" w:history="1">
        <w:r w:rsidRPr="00870E05">
          <w:rPr>
            <w:rStyle w:val="Hyperlink"/>
            <w:noProof/>
          </w:rPr>
          <w:t>A.1.3 Synthetic Event Day Tests</w:t>
        </w:r>
        <w:r>
          <w:rPr>
            <w:noProof/>
            <w:webHidden/>
          </w:rPr>
          <w:tab/>
        </w:r>
        <w:r>
          <w:rPr>
            <w:noProof/>
            <w:webHidden/>
          </w:rPr>
          <w:fldChar w:fldCharType="begin"/>
        </w:r>
        <w:r>
          <w:rPr>
            <w:noProof/>
            <w:webHidden/>
          </w:rPr>
          <w:instrText xml:space="preserve"> PAGEREF _Toc415761863 \h </w:instrText>
        </w:r>
        <w:r>
          <w:rPr>
            <w:noProof/>
            <w:webHidden/>
          </w:rPr>
        </w:r>
        <w:r>
          <w:rPr>
            <w:noProof/>
            <w:webHidden/>
          </w:rPr>
          <w:fldChar w:fldCharType="separate"/>
        </w:r>
        <w:r>
          <w:rPr>
            <w:noProof/>
            <w:webHidden/>
          </w:rPr>
          <w:t>65</w:t>
        </w:r>
        <w:r>
          <w:rPr>
            <w:noProof/>
            <w:webHidden/>
          </w:rPr>
          <w:fldChar w:fldCharType="end"/>
        </w:r>
      </w:hyperlink>
    </w:p>
    <w:p w14:paraId="5BED2AD8"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64" w:history="1">
        <w:r w:rsidRPr="00870E05">
          <w:rPr>
            <w:rStyle w:val="Hyperlink"/>
            <w:noProof/>
          </w:rPr>
          <w:t>A.2 Comparison of Predicted and Observed Loads on Event-like Days</w:t>
        </w:r>
        <w:r>
          <w:rPr>
            <w:noProof/>
            <w:webHidden/>
          </w:rPr>
          <w:tab/>
        </w:r>
        <w:r>
          <w:rPr>
            <w:noProof/>
            <w:webHidden/>
          </w:rPr>
          <w:fldChar w:fldCharType="begin"/>
        </w:r>
        <w:r>
          <w:rPr>
            <w:noProof/>
            <w:webHidden/>
          </w:rPr>
          <w:instrText xml:space="preserve"> PAGEREF _Toc415761864 \h </w:instrText>
        </w:r>
        <w:r>
          <w:rPr>
            <w:noProof/>
            <w:webHidden/>
          </w:rPr>
        </w:r>
        <w:r>
          <w:rPr>
            <w:noProof/>
            <w:webHidden/>
          </w:rPr>
          <w:fldChar w:fldCharType="separate"/>
        </w:r>
        <w:r>
          <w:rPr>
            <w:noProof/>
            <w:webHidden/>
          </w:rPr>
          <w:t>67</w:t>
        </w:r>
        <w:r>
          <w:rPr>
            <w:noProof/>
            <w:webHidden/>
          </w:rPr>
          <w:fldChar w:fldCharType="end"/>
        </w:r>
      </w:hyperlink>
    </w:p>
    <w:p w14:paraId="349187A5" w14:textId="77777777" w:rsidR="001C37C9" w:rsidRDefault="001C37C9">
      <w:pPr>
        <w:pStyle w:val="TOC2"/>
        <w:tabs>
          <w:tab w:val="right" w:leader="dot" w:pos="8630"/>
        </w:tabs>
        <w:rPr>
          <w:rFonts w:asciiTheme="minorHAnsi" w:eastAsiaTheme="minorEastAsia" w:hAnsiTheme="minorHAnsi" w:cstheme="minorBidi"/>
          <w:noProof/>
          <w:sz w:val="22"/>
          <w:szCs w:val="22"/>
        </w:rPr>
      </w:pPr>
      <w:hyperlink w:anchor="_Toc415761865" w:history="1">
        <w:r w:rsidRPr="00870E05">
          <w:rPr>
            <w:rStyle w:val="Hyperlink"/>
            <w:noProof/>
          </w:rPr>
          <w:t>A.3 Refinement of Customer-Level Models</w:t>
        </w:r>
        <w:r>
          <w:rPr>
            <w:noProof/>
            <w:webHidden/>
          </w:rPr>
          <w:tab/>
        </w:r>
        <w:r>
          <w:rPr>
            <w:noProof/>
            <w:webHidden/>
          </w:rPr>
          <w:fldChar w:fldCharType="begin"/>
        </w:r>
        <w:r>
          <w:rPr>
            <w:noProof/>
            <w:webHidden/>
          </w:rPr>
          <w:instrText xml:space="preserve"> PAGEREF _Toc415761865 \h </w:instrText>
        </w:r>
        <w:r>
          <w:rPr>
            <w:noProof/>
            <w:webHidden/>
          </w:rPr>
        </w:r>
        <w:r>
          <w:rPr>
            <w:noProof/>
            <w:webHidden/>
          </w:rPr>
          <w:fldChar w:fldCharType="separate"/>
        </w:r>
        <w:r>
          <w:rPr>
            <w:noProof/>
            <w:webHidden/>
          </w:rPr>
          <w:t>69</w:t>
        </w:r>
        <w:r>
          <w:rPr>
            <w:noProof/>
            <w:webHidden/>
          </w:rPr>
          <w:fldChar w:fldCharType="end"/>
        </w:r>
      </w:hyperlink>
    </w:p>
    <w:p w14:paraId="73E122E8" w14:textId="77777777" w:rsidR="00321E09" w:rsidRDefault="00321E09" w:rsidP="003F442E">
      <w:pPr>
        <w:jc w:val="center"/>
        <w:rPr>
          <w:b/>
          <w:sz w:val="28"/>
          <w:szCs w:val="28"/>
        </w:rPr>
        <w:sectPr w:rsidR="00321E09" w:rsidSect="00656C04">
          <w:headerReference w:type="default" r:id="rId11"/>
          <w:footerReference w:type="default" r:id="rId12"/>
          <w:pgSz w:w="12240" w:h="15840"/>
          <w:pgMar w:top="1440" w:right="1800" w:bottom="1296" w:left="1800" w:header="720" w:footer="720" w:gutter="0"/>
          <w:pgNumType w:fmt="lowerRoman" w:start="1"/>
          <w:cols w:space="720"/>
          <w:docGrid w:linePitch="360"/>
        </w:sectPr>
      </w:pPr>
      <w:r w:rsidRPr="00421999">
        <w:rPr>
          <w:sz w:val="22"/>
          <w:szCs w:val="22"/>
        </w:rPr>
        <w:fldChar w:fldCharType="end"/>
      </w:r>
    </w:p>
    <w:p w14:paraId="1F051F03" w14:textId="77777777" w:rsidR="00321E09" w:rsidRPr="00131108" w:rsidRDefault="00321E09" w:rsidP="00131108">
      <w:pPr>
        <w:jc w:val="center"/>
        <w:rPr>
          <w:b/>
        </w:rPr>
      </w:pPr>
      <w:r w:rsidRPr="00131108">
        <w:rPr>
          <w:b/>
        </w:rPr>
        <w:lastRenderedPageBreak/>
        <w:t>Tables</w:t>
      </w:r>
    </w:p>
    <w:p w14:paraId="2BC7353D" w14:textId="77777777" w:rsidR="001C37C9" w:rsidRDefault="00321E09">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"Table Caption" \c </w:instrText>
      </w:r>
      <w:r>
        <w:rPr>
          <w:b/>
          <w:sz w:val="28"/>
          <w:szCs w:val="28"/>
        </w:rPr>
        <w:fldChar w:fldCharType="separate"/>
      </w:r>
      <w:hyperlink w:anchor="_Toc415761866" w:history="1">
        <w:r w:rsidR="001C37C9" w:rsidRPr="00BE0884">
          <w:rPr>
            <w:rStyle w:val="Hyperlink"/>
            <w:noProof/>
          </w:rPr>
          <w:t xml:space="preserve">Table 2.1: DBP Enrollees by Industry Group, </w:t>
        </w:r>
        <w:r w:rsidR="001C37C9" w:rsidRPr="00BE0884">
          <w:rPr>
            <w:rStyle w:val="Hyperlink"/>
            <w:i/>
            <w:noProof/>
          </w:rPr>
          <w:t>PG&amp;E</w:t>
        </w:r>
        <w:r w:rsidR="001C37C9">
          <w:rPr>
            <w:noProof/>
            <w:webHidden/>
          </w:rPr>
          <w:tab/>
        </w:r>
        <w:r w:rsidR="001C37C9">
          <w:rPr>
            <w:noProof/>
            <w:webHidden/>
          </w:rPr>
          <w:fldChar w:fldCharType="begin"/>
        </w:r>
        <w:r w:rsidR="001C37C9">
          <w:rPr>
            <w:noProof/>
            <w:webHidden/>
          </w:rPr>
          <w:instrText xml:space="preserve"> PAGEREF _Toc415761866 \h </w:instrText>
        </w:r>
        <w:r w:rsidR="001C37C9">
          <w:rPr>
            <w:noProof/>
            <w:webHidden/>
          </w:rPr>
        </w:r>
        <w:r w:rsidR="001C37C9">
          <w:rPr>
            <w:noProof/>
            <w:webHidden/>
          </w:rPr>
          <w:fldChar w:fldCharType="separate"/>
        </w:r>
        <w:r w:rsidR="001C37C9">
          <w:rPr>
            <w:noProof/>
            <w:webHidden/>
          </w:rPr>
          <w:t>12</w:t>
        </w:r>
        <w:r w:rsidR="001C37C9">
          <w:rPr>
            <w:noProof/>
            <w:webHidden/>
          </w:rPr>
          <w:fldChar w:fldCharType="end"/>
        </w:r>
      </w:hyperlink>
    </w:p>
    <w:p w14:paraId="14522155"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67" w:history="1">
        <w:r w:rsidRPr="00BE0884">
          <w:rPr>
            <w:rStyle w:val="Hyperlink"/>
            <w:noProof/>
          </w:rPr>
          <w:t xml:space="preserve">Table 2.2: DBP Enrollees by Industry Group, </w:t>
        </w:r>
        <w:r w:rsidRPr="00BE0884">
          <w:rPr>
            <w:rStyle w:val="Hyperlink"/>
            <w:i/>
            <w:noProof/>
          </w:rPr>
          <w:t>SCE</w:t>
        </w:r>
        <w:r>
          <w:rPr>
            <w:noProof/>
            <w:webHidden/>
          </w:rPr>
          <w:tab/>
        </w:r>
        <w:r>
          <w:rPr>
            <w:noProof/>
            <w:webHidden/>
          </w:rPr>
          <w:fldChar w:fldCharType="begin"/>
        </w:r>
        <w:r>
          <w:rPr>
            <w:noProof/>
            <w:webHidden/>
          </w:rPr>
          <w:instrText xml:space="preserve"> PAGEREF _Toc415761867 \h </w:instrText>
        </w:r>
        <w:r>
          <w:rPr>
            <w:noProof/>
            <w:webHidden/>
          </w:rPr>
        </w:r>
        <w:r>
          <w:rPr>
            <w:noProof/>
            <w:webHidden/>
          </w:rPr>
          <w:fldChar w:fldCharType="separate"/>
        </w:r>
        <w:r>
          <w:rPr>
            <w:noProof/>
            <w:webHidden/>
          </w:rPr>
          <w:t>12</w:t>
        </w:r>
        <w:r>
          <w:rPr>
            <w:noProof/>
            <w:webHidden/>
          </w:rPr>
          <w:fldChar w:fldCharType="end"/>
        </w:r>
      </w:hyperlink>
    </w:p>
    <w:p w14:paraId="2DD567E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68" w:history="1">
        <w:r w:rsidRPr="00BE0884">
          <w:rPr>
            <w:rStyle w:val="Hyperlink"/>
            <w:noProof/>
          </w:rPr>
          <w:t xml:space="preserve">Table 2.3: DBP Enrollees by Local Capacity Area, </w:t>
        </w:r>
        <w:r w:rsidRPr="00BE0884">
          <w:rPr>
            <w:rStyle w:val="Hyperlink"/>
            <w:i/>
            <w:noProof/>
          </w:rPr>
          <w:t>PG&amp;E</w:t>
        </w:r>
        <w:r>
          <w:rPr>
            <w:noProof/>
            <w:webHidden/>
          </w:rPr>
          <w:tab/>
        </w:r>
        <w:r>
          <w:rPr>
            <w:noProof/>
            <w:webHidden/>
          </w:rPr>
          <w:fldChar w:fldCharType="begin"/>
        </w:r>
        <w:r>
          <w:rPr>
            <w:noProof/>
            <w:webHidden/>
          </w:rPr>
          <w:instrText xml:space="preserve"> PAGEREF _Toc415761868 \h </w:instrText>
        </w:r>
        <w:r>
          <w:rPr>
            <w:noProof/>
            <w:webHidden/>
          </w:rPr>
        </w:r>
        <w:r>
          <w:rPr>
            <w:noProof/>
            <w:webHidden/>
          </w:rPr>
          <w:fldChar w:fldCharType="separate"/>
        </w:r>
        <w:r>
          <w:rPr>
            <w:noProof/>
            <w:webHidden/>
          </w:rPr>
          <w:t>13</w:t>
        </w:r>
        <w:r>
          <w:rPr>
            <w:noProof/>
            <w:webHidden/>
          </w:rPr>
          <w:fldChar w:fldCharType="end"/>
        </w:r>
      </w:hyperlink>
    </w:p>
    <w:p w14:paraId="6EFF372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69" w:history="1">
        <w:r w:rsidRPr="00BE0884">
          <w:rPr>
            <w:rStyle w:val="Hyperlink"/>
            <w:noProof/>
          </w:rPr>
          <w:t xml:space="preserve">Table 2.4: DBP Enrollees by Local Capacity Area, </w:t>
        </w:r>
        <w:r w:rsidRPr="00BE0884">
          <w:rPr>
            <w:rStyle w:val="Hyperlink"/>
            <w:i/>
            <w:noProof/>
          </w:rPr>
          <w:t>SCE</w:t>
        </w:r>
        <w:r>
          <w:rPr>
            <w:noProof/>
            <w:webHidden/>
          </w:rPr>
          <w:tab/>
        </w:r>
        <w:r>
          <w:rPr>
            <w:noProof/>
            <w:webHidden/>
          </w:rPr>
          <w:fldChar w:fldCharType="begin"/>
        </w:r>
        <w:r>
          <w:rPr>
            <w:noProof/>
            <w:webHidden/>
          </w:rPr>
          <w:instrText xml:space="preserve"> PAGEREF _Toc415761869 \h </w:instrText>
        </w:r>
        <w:r>
          <w:rPr>
            <w:noProof/>
            <w:webHidden/>
          </w:rPr>
        </w:r>
        <w:r>
          <w:rPr>
            <w:noProof/>
            <w:webHidden/>
          </w:rPr>
          <w:fldChar w:fldCharType="separate"/>
        </w:r>
        <w:r>
          <w:rPr>
            <w:noProof/>
            <w:webHidden/>
          </w:rPr>
          <w:t>13</w:t>
        </w:r>
        <w:r>
          <w:rPr>
            <w:noProof/>
            <w:webHidden/>
          </w:rPr>
          <w:fldChar w:fldCharType="end"/>
        </w:r>
      </w:hyperlink>
    </w:p>
    <w:p w14:paraId="4FF4664E"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0" w:history="1">
        <w:r w:rsidRPr="00BE0884">
          <w:rPr>
            <w:rStyle w:val="Hyperlink"/>
            <w:noProof/>
          </w:rPr>
          <w:t xml:space="preserve">Table 2.5: DBP Bidding Behavior, </w:t>
        </w:r>
        <w:r w:rsidRPr="00BE0884">
          <w:rPr>
            <w:rStyle w:val="Hyperlink"/>
            <w:i/>
            <w:noProof/>
          </w:rPr>
          <w:t>PG&amp;E</w:t>
        </w:r>
        <w:r>
          <w:rPr>
            <w:noProof/>
            <w:webHidden/>
          </w:rPr>
          <w:tab/>
        </w:r>
        <w:r>
          <w:rPr>
            <w:noProof/>
            <w:webHidden/>
          </w:rPr>
          <w:fldChar w:fldCharType="begin"/>
        </w:r>
        <w:r>
          <w:rPr>
            <w:noProof/>
            <w:webHidden/>
          </w:rPr>
          <w:instrText xml:space="preserve"> PAGEREF _Toc415761870 \h </w:instrText>
        </w:r>
        <w:r>
          <w:rPr>
            <w:noProof/>
            <w:webHidden/>
          </w:rPr>
        </w:r>
        <w:r>
          <w:rPr>
            <w:noProof/>
            <w:webHidden/>
          </w:rPr>
          <w:fldChar w:fldCharType="separate"/>
        </w:r>
        <w:r>
          <w:rPr>
            <w:noProof/>
            <w:webHidden/>
          </w:rPr>
          <w:t>13</w:t>
        </w:r>
        <w:r>
          <w:rPr>
            <w:noProof/>
            <w:webHidden/>
          </w:rPr>
          <w:fldChar w:fldCharType="end"/>
        </w:r>
      </w:hyperlink>
    </w:p>
    <w:p w14:paraId="6E05979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1" w:history="1">
        <w:r w:rsidRPr="00BE0884">
          <w:rPr>
            <w:rStyle w:val="Hyperlink"/>
            <w:noProof/>
          </w:rPr>
          <w:t xml:space="preserve">Table 2.6: DBP Bidding Behavior, </w:t>
        </w:r>
        <w:r w:rsidRPr="00BE0884">
          <w:rPr>
            <w:rStyle w:val="Hyperlink"/>
            <w:i/>
            <w:noProof/>
          </w:rPr>
          <w:t>SCE</w:t>
        </w:r>
        <w:r>
          <w:rPr>
            <w:noProof/>
            <w:webHidden/>
          </w:rPr>
          <w:tab/>
        </w:r>
        <w:r>
          <w:rPr>
            <w:noProof/>
            <w:webHidden/>
          </w:rPr>
          <w:fldChar w:fldCharType="begin"/>
        </w:r>
        <w:r>
          <w:rPr>
            <w:noProof/>
            <w:webHidden/>
          </w:rPr>
          <w:instrText xml:space="preserve"> PAGEREF _Toc415761871 \h </w:instrText>
        </w:r>
        <w:r>
          <w:rPr>
            <w:noProof/>
            <w:webHidden/>
          </w:rPr>
        </w:r>
        <w:r>
          <w:rPr>
            <w:noProof/>
            <w:webHidden/>
          </w:rPr>
          <w:fldChar w:fldCharType="separate"/>
        </w:r>
        <w:r>
          <w:rPr>
            <w:noProof/>
            <w:webHidden/>
          </w:rPr>
          <w:t>14</w:t>
        </w:r>
        <w:r>
          <w:rPr>
            <w:noProof/>
            <w:webHidden/>
          </w:rPr>
          <w:fldChar w:fldCharType="end"/>
        </w:r>
      </w:hyperlink>
    </w:p>
    <w:p w14:paraId="6794C90D"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2" w:history="1">
        <w:r w:rsidRPr="00BE0884">
          <w:rPr>
            <w:rStyle w:val="Hyperlink"/>
            <w:noProof/>
          </w:rPr>
          <w:t>Table 2.7: DBP Event Days</w:t>
        </w:r>
        <w:r>
          <w:rPr>
            <w:noProof/>
            <w:webHidden/>
          </w:rPr>
          <w:tab/>
        </w:r>
        <w:r>
          <w:rPr>
            <w:noProof/>
            <w:webHidden/>
          </w:rPr>
          <w:fldChar w:fldCharType="begin"/>
        </w:r>
        <w:r>
          <w:rPr>
            <w:noProof/>
            <w:webHidden/>
          </w:rPr>
          <w:instrText xml:space="preserve"> PAGEREF _Toc415761872 \h </w:instrText>
        </w:r>
        <w:r>
          <w:rPr>
            <w:noProof/>
            <w:webHidden/>
          </w:rPr>
        </w:r>
        <w:r>
          <w:rPr>
            <w:noProof/>
            <w:webHidden/>
          </w:rPr>
          <w:fldChar w:fldCharType="separate"/>
        </w:r>
        <w:r>
          <w:rPr>
            <w:noProof/>
            <w:webHidden/>
          </w:rPr>
          <w:t>15</w:t>
        </w:r>
        <w:r>
          <w:rPr>
            <w:noProof/>
            <w:webHidden/>
          </w:rPr>
          <w:fldChar w:fldCharType="end"/>
        </w:r>
      </w:hyperlink>
    </w:p>
    <w:p w14:paraId="51F1F23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3" w:history="1">
        <w:r w:rsidRPr="00BE0884">
          <w:rPr>
            <w:rStyle w:val="Hyperlink"/>
            <w:noProof/>
          </w:rPr>
          <w:t xml:space="preserve">Table 3.1: Descriptions of Terms included in the </w:t>
        </w:r>
        <w:r w:rsidRPr="00BE0884">
          <w:rPr>
            <w:rStyle w:val="Hyperlink"/>
            <w:i/>
            <w:noProof/>
          </w:rPr>
          <w:t>Ex-post</w:t>
        </w:r>
        <w:r w:rsidRPr="00BE0884">
          <w:rPr>
            <w:rStyle w:val="Hyperlink"/>
            <w:noProof/>
          </w:rPr>
          <w:t xml:space="preserve"> Regression Equation</w:t>
        </w:r>
        <w:r>
          <w:rPr>
            <w:noProof/>
            <w:webHidden/>
          </w:rPr>
          <w:tab/>
        </w:r>
        <w:r>
          <w:rPr>
            <w:noProof/>
            <w:webHidden/>
          </w:rPr>
          <w:fldChar w:fldCharType="begin"/>
        </w:r>
        <w:r>
          <w:rPr>
            <w:noProof/>
            <w:webHidden/>
          </w:rPr>
          <w:instrText xml:space="preserve"> PAGEREF _Toc415761873 \h </w:instrText>
        </w:r>
        <w:r>
          <w:rPr>
            <w:noProof/>
            <w:webHidden/>
          </w:rPr>
        </w:r>
        <w:r>
          <w:rPr>
            <w:noProof/>
            <w:webHidden/>
          </w:rPr>
          <w:fldChar w:fldCharType="separate"/>
        </w:r>
        <w:r>
          <w:rPr>
            <w:noProof/>
            <w:webHidden/>
          </w:rPr>
          <w:t>17</w:t>
        </w:r>
        <w:r>
          <w:rPr>
            <w:noProof/>
            <w:webHidden/>
          </w:rPr>
          <w:fldChar w:fldCharType="end"/>
        </w:r>
      </w:hyperlink>
    </w:p>
    <w:p w14:paraId="49E69A99"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4" w:history="1">
        <w:r w:rsidRPr="00BE0884">
          <w:rPr>
            <w:rStyle w:val="Hyperlink"/>
            <w:noProof/>
          </w:rPr>
          <w:t xml:space="preserve">Table 4.1: Average Event-Hour Load Impacts by Event, </w:t>
        </w:r>
        <w:r w:rsidRPr="00BE0884">
          <w:rPr>
            <w:rStyle w:val="Hyperlink"/>
            <w:i/>
            <w:noProof/>
          </w:rPr>
          <w:t>PG&amp;E</w:t>
        </w:r>
        <w:r>
          <w:rPr>
            <w:noProof/>
            <w:webHidden/>
          </w:rPr>
          <w:tab/>
        </w:r>
        <w:r>
          <w:rPr>
            <w:noProof/>
            <w:webHidden/>
          </w:rPr>
          <w:fldChar w:fldCharType="begin"/>
        </w:r>
        <w:r>
          <w:rPr>
            <w:noProof/>
            <w:webHidden/>
          </w:rPr>
          <w:instrText xml:space="preserve"> PAGEREF _Toc415761874 \h </w:instrText>
        </w:r>
        <w:r>
          <w:rPr>
            <w:noProof/>
            <w:webHidden/>
          </w:rPr>
        </w:r>
        <w:r>
          <w:rPr>
            <w:noProof/>
            <w:webHidden/>
          </w:rPr>
          <w:fldChar w:fldCharType="separate"/>
        </w:r>
        <w:r>
          <w:rPr>
            <w:noProof/>
            <w:webHidden/>
          </w:rPr>
          <w:t>19</w:t>
        </w:r>
        <w:r>
          <w:rPr>
            <w:noProof/>
            <w:webHidden/>
          </w:rPr>
          <w:fldChar w:fldCharType="end"/>
        </w:r>
      </w:hyperlink>
    </w:p>
    <w:p w14:paraId="2EC5BF44"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5" w:history="1">
        <w:r w:rsidRPr="00BE0884">
          <w:rPr>
            <w:rStyle w:val="Hyperlink"/>
            <w:noProof/>
          </w:rPr>
          <w:t>Table 4.2: Average Event-Hour Bid Realization Rates by Event</w:t>
        </w:r>
        <w:r w:rsidRPr="00BE0884">
          <w:rPr>
            <w:rStyle w:val="Hyperlink"/>
            <w:i/>
            <w:noProof/>
          </w:rPr>
          <w:t>, PG&amp;E</w:t>
        </w:r>
        <w:r>
          <w:rPr>
            <w:noProof/>
            <w:webHidden/>
          </w:rPr>
          <w:tab/>
        </w:r>
        <w:r>
          <w:rPr>
            <w:noProof/>
            <w:webHidden/>
          </w:rPr>
          <w:fldChar w:fldCharType="begin"/>
        </w:r>
        <w:r>
          <w:rPr>
            <w:noProof/>
            <w:webHidden/>
          </w:rPr>
          <w:instrText xml:space="preserve"> PAGEREF _Toc415761875 \h </w:instrText>
        </w:r>
        <w:r>
          <w:rPr>
            <w:noProof/>
            <w:webHidden/>
          </w:rPr>
        </w:r>
        <w:r>
          <w:rPr>
            <w:noProof/>
            <w:webHidden/>
          </w:rPr>
          <w:fldChar w:fldCharType="separate"/>
        </w:r>
        <w:r>
          <w:rPr>
            <w:noProof/>
            <w:webHidden/>
          </w:rPr>
          <w:t>20</w:t>
        </w:r>
        <w:r>
          <w:rPr>
            <w:noProof/>
            <w:webHidden/>
          </w:rPr>
          <w:fldChar w:fldCharType="end"/>
        </w:r>
      </w:hyperlink>
    </w:p>
    <w:p w14:paraId="73476BD1"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6" w:history="1">
        <w:r w:rsidRPr="00BE0884">
          <w:rPr>
            <w:rStyle w:val="Hyperlink"/>
            <w:noProof/>
          </w:rPr>
          <w:t xml:space="preserve">Table 4.3: Average Event-Hour Load Impacts – PG&amp;E DBP, </w:t>
        </w:r>
        <w:r w:rsidRPr="00BE0884">
          <w:rPr>
            <w:rStyle w:val="Hyperlink"/>
            <w:i/>
            <w:noProof/>
          </w:rPr>
          <w:t>by Industry Group</w:t>
        </w:r>
        <w:r>
          <w:rPr>
            <w:noProof/>
            <w:webHidden/>
          </w:rPr>
          <w:tab/>
        </w:r>
        <w:r>
          <w:rPr>
            <w:noProof/>
            <w:webHidden/>
          </w:rPr>
          <w:fldChar w:fldCharType="begin"/>
        </w:r>
        <w:r>
          <w:rPr>
            <w:noProof/>
            <w:webHidden/>
          </w:rPr>
          <w:instrText xml:space="preserve"> PAGEREF _Toc415761876 \h </w:instrText>
        </w:r>
        <w:r>
          <w:rPr>
            <w:noProof/>
            <w:webHidden/>
          </w:rPr>
        </w:r>
        <w:r>
          <w:rPr>
            <w:noProof/>
            <w:webHidden/>
          </w:rPr>
          <w:fldChar w:fldCharType="separate"/>
        </w:r>
        <w:r>
          <w:rPr>
            <w:noProof/>
            <w:webHidden/>
          </w:rPr>
          <w:t>21</w:t>
        </w:r>
        <w:r>
          <w:rPr>
            <w:noProof/>
            <w:webHidden/>
          </w:rPr>
          <w:fldChar w:fldCharType="end"/>
        </w:r>
      </w:hyperlink>
    </w:p>
    <w:p w14:paraId="16002225"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7" w:history="1">
        <w:r w:rsidRPr="00BE0884">
          <w:rPr>
            <w:rStyle w:val="Hyperlink"/>
            <w:noProof/>
          </w:rPr>
          <w:t xml:space="preserve">Table 4.4: Average Event-Hour Load Impacts – PG&amp;E DBP, </w:t>
        </w:r>
        <w:r w:rsidRPr="00BE0884">
          <w:rPr>
            <w:rStyle w:val="Hyperlink"/>
            <w:i/>
            <w:noProof/>
          </w:rPr>
          <w:t>by LCA</w:t>
        </w:r>
        <w:r>
          <w:rPr>
            <w:noProof/>
            <w:webHidden/>
          </w:rPr>
          <w:tab/>
        </w:r>
        <w:r>
          <w:rPr>
            <w:noProof/>
            <w:webHidden/>
          </w:rPr>
          <w:fldChar w:fldCharType="begin"/>
        </w:r>
        <w:r>
          <w:rPr>
            <w:noProof/>
            <w:webHidden/>
          </w:rPr>
          <w:instrText xml:space="preserve"> PAGEREF _Toc415761877 \h </w:instrText>
        </w:r>
        <w:r>
          <w:rPr>
            <w:noProof/>
            <w:webHidden/>
          </w:rPr>
        </w:r>
        <w:r>
          <w:rPr>
            <w:noProof/>
            <w:webHidden/>
          </w:rPr>
          <w:fldChar w:fldCharType="separate"/>
        </w:r>
        <w:r>
          <w:rPr>
            <w:noProof/>
            <w:webHidden/>
          </w:rPr>
          <w:t>21</w:t>
        </w:r>
        <w:r>
          <w:rPr>
            <w:noProof/>
            <w:webHidden/>
          </w:rPr>
          <w:fldChar w:fldCharType="end"/>
        </w:r>
      </w:hyperlink>
    </w:p>
    <w:p w14:paraId="1E2AAA9A"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8" w:history="1">
        <w:r w:rsidRPr="00BE0884">
          <w:rPr>
            <w:rStyle w:val="Hyperlink"/>
            <w:noProof/>
          </w:rPr>
          <w:t xml:space="preserve">Table 4.5: DBP Hourly Load Impacts for the Average Event Day, </w:t>
        </w:r>
        <w:r w:rsidRPr="00BE0884">
          <w:rPr>
            <w:rStyle w:val="Hyperlink"/>
            <w:i/>
            <w:noProof/>
          </w:rPr>
          <w:t>PG&amp;E</w:t>
        </w:r>
        <w:r>
          <w:rPr>
            <w:noProof/>
            <w:webHidden/>
          </w:rPr>
          <w:tab/>
        </w:r>
        <w:r>
          <w:rPr>
            <w:noProof/>
            <w:webHidden/>
          </w:rPr>
          <w:fldChar w:fldCharType="begin"/>
        </w:r>
        <w:r>
          <w:rPr>
            <w:noProof/>
            <w:webHidden/>
          </w:rPr>
          <w:instrText xml:space="preserve"> PAGEREF _Toc415761878 \h </w:instrText>
        </w:r>
        <w:r>
          <w:rPr>
            <w:noProof/>
            <w:webHidden/>
          </w:rPr>
        </w:r>
        <w:r>
          <w:rPr>
            <w:noProof/>
            <w:webHidden/>
          </w:rPr>
          <w:fldChar w:fldCharType="separate"/>
        </w:r>
        <w:r>
          <w:rPr>
            <w:noProof/>
            <w:webHidden/>
          </w:rPr>
          <w:t>22</w:t>
        </w:r>
        <w:r>
          <w:rPr>
            <w:noProof/>
            <w:webHidden/>
          </w:rPr>
          <w:fldChar w:fldCharType="end"/>
        </w:r>
      </w:hyperlink>
    </w:p>
    <w:p w14:paraId="65DFA285"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79" w:history="1">
        <w:r w:rsidRPr="00BE0884">
          <w:rPr>
            <w:rStyle w:val="Hyperlink"/>
            <w:noProof/>
          </w:rPr>
          <w:t xml:space="preserve">Table 4.6: Average Event-Hour Load Impacts by Event, </w:t>
        </w:r>
        <w:r w:rsidRPr="00BE0884">
          <w:rPr>
            <w:rStyle w:val="Hyperlink"/>
            <w:i/>
            <w:noProof/>
          </w:rPr>
          <w:t>SCE</w:t>
        </w:r>
        <w:r>
          <w:rPr>
            <w:noProof/>
            <w:webHidden/>
          </w:rPr>
          <w:tab/>
        </w:r>
        <w:r>
          <w:rPr>
            <w:noProof/>
            <w:webHidden/>
          </w:rPr>
          <w:fldChar w:fldCharType="begin"/>
        </w:r>
        <w:r>
          <w:rPr>
            <w:noProof/>
            <w:webHidden/>
          </w:rPr>
          <w:instrText xml:space="preserve"> PAGEREF _Toc415761879 \h </w:instrText>
        </w:r>
        <w:r>
          <w:rPr>
            <w:noProof/>
            <w:webHidden/>
          </w:rPr>
        </w:r>
        <w:r>
          <w:rPr>
            <w:noProof/>
            <w:webHidden/>
          </w:rPr>
          <w:fldChar w:fldCharType="separate"/>
        </w:r>
        <w:r>
          <w:rPr>
            <w:noProof/>
            <w:webHidden/>
          </w:rPr>
          <w:t>25</w:t>
        </w:r>
        <w:r>
          <w:rPr>
            <w:noProof/>
            <w:webHidden/>
          </w:rPr>
          <w:fldChar w:fldCharType="end"/>
        </w:r>
      </w:hyperlink>
    </w:p>
    <w:p w14:paraId="4F6ABA95"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0" w:history="1">
        <w:r w:rsidRPr="00BE0884">
          <w:rPr>
            <w:rStyle w:val="Hyperlink"/>
            <w:noProof/>
          </w:rPr>
          <w:t>Table 4.7: Average Event-Hour Bid Realization Rates by Event</w:t>
        </w:r>
        <w:r w:rsidRPr="00BE0884">
          <w:rPr>
            <w:rStyle w:val="Hyperlink"/>
            <w:i/>
            <w:noProof/>
          </w:rPr>
          <w:t>, SCE</w:t>
        </w:r>
        <w:r>
          <w:rPr>
            <w:noProof/>
            <w:webHidden/>
          </w:rPr>
          <w:tab/>
        </w:r>
        <w:r>
          <w:rPr>
            <w:noProof/>
            <w:webHidden/>
          </w:rPr>
          <w:fldChar w:fldCharType="begin"/>
        </w:r>
        <w:r>
          <w:rPr>
            <w:noProof/>
            <w:webHidden/>
          </w:rPr>
          <w:instrText xml:space="preserve"> PAGEREF _Toc415761880 \h </w:instrText>
        </w:r>
        <w:r>
          <w:rPr>
            <w:noProof/>
            <w:webHidden/>
          </w:rPr>
        </w:r>
        <w:r>
          <w:rPr>
            <w:noProof/>
            <w:webHidden/>
          </w:rPr>
          <w:fldChar w:fldCharType="separate"/>
        </w:r>
        <w:r>
          <w:rPr>
            <w:noProof/>
            <w:webHidden/>
          </w:rPr>
          <w:t>26</w:t>
        </w:r>
        <w:r>
          <w:rPr>
            <w:noProof/>
            <w:webHidden/>
          </w:rPr>
          <w:fldChar w:fldCharType="end"/>
        </w:r>
      </w:hyperlink>
    </w:p>
    <w:p w14:paraId="4C84C00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1" w:history="1">
        <w:r w:rsidRPr="00BE0884">
          <w:rPr>
            <w:rStyle w:val="Hyperlink"/>
            <w:noProof/>
          </w:rPr>
          <w:t xml:space="preserve">Table 4.8: Average Event-Hour Load Impacts – SCE DBP, </w:t>
        </w:r>
        <w:r w:rsidRPr="00BE0884">
          <w:rPr>
            <w:rStyle w:val="Hyperlink"/>
            <w:i/>
            <w:noProof/>
          </w:rPr>
          <w:t>by Industry Group</w:t>
        </w:r>
        <w:r>
          <w:rPr>
            <w:noProof/>
            <w:webHidden/>
          </w:rPr>
          <w:tab/>
        </w:r>
        <w:r>
          <w:rPr>
            <w:noProof/>
            <w:webHidden/>
          </w:rPr>
          <w:fldChar w:fldCharType="begin"/>
        </w:r>
        <w:r>
          <w:rPr>
            <w:noProof/>
            <w:webHidden/>
          </w:rPr>
          <w:instrText xml:space="preserve"> PAGEREF _Toc415761881 \h </w:instrText>
        </w:r>
        <w:r>
          <w:rPr>
            <w:noProof/>
            <w:webHidden/>
          </w:rPr>
        </w:r>
        <w:r>
          <w:rPr>
            <w:noProof/>
            <w:webHidden/>
          </w:rPr>
          <w:fldChar w:fldCharType="separate"/>
        </w:r>
        <w:r>
          <w:rPr>
            <w:noProof/>
            <w:webHidden/>
          </w:rPr>
          <w:t>26</w:t>
        </w:r>
        <w:r>
          <w:rPr>
            <w:noProof/>
            <w:webHidden/>
          </w:rPr>
          <w:fldChar w:fldCharType="end"/>
        </w:r>
      </w:hyperlink>
    </w:p>
    <w:p w14:paraId="1BC83EA4"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2" w:history="1">
        <w:r w:rsidRPr="00BE0884">
          <w:rPr>
            <w:rStyle w:val="Hyperlink"/>
            <w:noProof/>
          </w:rPr>
          <w:t xml:space="preserve">Table 4.9: Average Event-Hour Load Impacts – SCE DBP, </w:t>
        </w:r>
        <w:r w:rsidRPr="00BE0884">
          <w:rPr>
            <w:rStyle w:val="Hyperlink"/>
            <w:i/>
            <w:noProof/>
          </w:rPr>
          <w:t>by LCA</w:t>
        </w:r>
        <w:r>
          <w:rPr>
            <w:noProof/>
            <w:webHidden/>
          </w:rPr>
          <w:tab/>
        </w:r>
        <w:r>
          <w:rPr>
            <w:noProof/>
            <w:webHidden/>
          </w:rPr>
          <w:fldChar w:fldCharType="begin"/>
        </w:r>
        <w:r>
          <w:rPr>
            <w:noProof/>
            <w:webHidden/>
          </w:rPr>
          <w:instrText xml:space="preserve"> PAGEREF _Toc415761882 \h </w:instrText>
        </w:r>
        <w:r>
          <w:rPr>
            <w:noProof/>
            <w:webHidden/>
          </w:rPr>
        </w:r>
        <w:r>
          <w:rPr>
            <w:noProof/>
            <w:webHidden/>
          </w:rPr>
          <w:fldChar w:fldCharType="separate"/>
        </w:r>
        <w:r>
          <w:rPr>
            <w:noProof/>
            <w:webHidden/>
          </w:rPr>
          <w:t>27</w:t>
        </w:r>
        <w:r>
          <w:rPr>
            <w:noProof/>
            <w:webHidden/>
          </w:rPr>
          <w:fldChar w:fldCharType="end"/>
        </w:r>
      </w:hyperlink>
    </w:p>
    <w:p w14:paraId="6C17C87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3" w:history="1">
        <w:r w:rsidRPr="00BE0884">
          <w:rPr>
            <w:rStyle w:val="Hyperlink"/>
            <w:noProof/>
          </w:rPr>
          <w:t xml:space="preserve">Table 4.10: DBP Hourly Load Impacts for the Average Event Day, </w:t>
        </w:r>
        <w:r w:rsidRPr="00BE0884">
          <w:rPr>
            <w:rStyle w:val="Hyperlink"/>
            <w:i/>
            <w:noProof/>
          </w:rPr>
          <w:t>SCE</w:t>
        </w:r>
        <w:r>
          <w:rPr>
            <w:noProof/>
            <w:webHidden/>
          </w:rPr>
          <w:tab/>
        </w:r>
        <w:r>
          <w:rPr>
            <w:noProof/>
            <w:webHidden/>
          </w:rPr>
          <w:fldChar w:fldCharType="begin"/>
        </w:r>
        <w:r>
          <w:rPr>
            <w:noProof/>
            <w:webHidden/>
          </w:rPr>
          <w:instrText xml:space="preserve"> PAGEREF _Toc415761883 \h </w:instrText>
        </w:r>
        <w:r>
          <w:rPr>
            <w:noProof/>
            <w:webHidden/>
          </w:rPr>
        </w:r>
        <w:r>
          <w:rPr>
            <w:noProof/>
            <w:webHidden/>
          </w:rPr>
          <w:fldChar w:fldCharType="separate"/>
        </w:r>
        <w:r>
          <w:rPr>
            <w:noProof/>
            <w:webHidden/>
          </w:rPr>
          <w:t>28</w:t>
        </w:r>
        <w:r>
          <w:rPr>
            <w:noProof/>
            <w:webHidden/>
          </w:rPr>
          <w:fldChar w:fldCharType="end"/>
        </w:r>
      </w:hyperlink>
    </w:p>
    <w:p w14:paraId="67730BA5"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4" w:history="1">
        <w:r w:rsidRPr="00BE0884">
          <w:rPr>
            <w:rStyle w:val="Hyperlink"/>
            <w:noProof/>
          </w:rPr>
          <w:t xml:space="preserve">Table 4.13: DBP Hourly Load Impacts for the September 16th Event Day, </w:t>
        </w:r>
        <w:r w:rsidRPr="00BE0884">
          <w:rPr>
            <w:rStyle w:val="Hyperlink"/>
            <w:i/>
            <w:noProof/>
          </w:rPr>
          <w:t>SDG&amp;E DO</w:t>
        </w:r>
        <w:r>
          <w:rPr>
            <w:noProof/>
            <w:webHidden/>
          </w:rPr>
          <w:tab/>
        </w:r>
        <w:r>
          <w:rPr>
            <w:noProof/>
            <w:webHidden/>
          </w:rPr>
          <w:fldChar w:fldCharType="begin"/>
        </w:r>
        <w:r>
          <w:rPr>
            <w:noProof/>
            <w:webHidden/>
          </w:rPr>
          <w:instrText xml:space="preserve"> PAGEREF _Toc415761884 \h </w:instrText>
        </w:r>
        <w:r>
          <w:rPr>
            <w:noProof/>
            <w:webHidden/>
          </w:rPr>
        </w:r>
        <w:r>
          <w:rPr>
            <w:noProof/>
            <w:webHidden/>
          </w:rPr>
          <w:fldChar w:fldCharType="separate"/>
        </w:r>
        <w:r>
          <w:rPr>
            <w:noProof/>
            <w:webHidden/>
          </w:rPr>
          <w:t>30</w:t>
        </w:r>
        <w:r>
          <w:rPr>
            <w:noProof/>
            <w:webHidden/>
          </w:rPr>
          <w:fldChar w:fldCharType="end"/>
        </w:r>
      </w:hyperlink>
    </w:p>
    <w:p w14:paraId="4392A79C"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5" w:history="1">
        <w:r w:rsidRPr="00BE0884">
          <w:rPr>
            <w:rStyle w:val="Hyperlink"/>
            <w:noProof/>
          </w:rPr>
          <w:t xml:space="preserve">Table 4.14: DBP Hourly Load Impacts for the February 7th Event Day, </w:t>
        </w:r>
        <w:r w:rsidRPr="00BE0884">
          <w:rPr>
            <w:rStyle w:val="Hyperlink"/>
            <w:i/>
            <w:noProof/>
          </w:rPr>
          <w:t>SDG&amp;E DA</w:t>
        </w:r>
        <w:r>
          <w:rPr>
            <w:noProof/>
            <w:webHidden/>
          </w:rPr>
          <w:tab/>
        </w:r>
        <w:r>
          <w:rPr>
            <w:noProof/>
            <w:webHidden/>
          </w:rPr>
          <w:fldChar w:fldCharType="begin"/>
        </w:r>
        <w:r>
          <w:rPr>
            <w:noProof/>
            <w:webHidden/>
          </w:rPr>
          <w:instrText xml:space="preserve"> PAGEREF _Toc415761885 \h </w:instrText>
        </w:r>
        <w:r>
          <w:rPr>
            <w:noProof/>
            <w:webHidden/>
          </w:rPr>
        </w:r>
        <w:r>
          <w:rPr>
            <w:noProof/>
            <w:webHidden/>
          </w:rPr>
          <w:fldChar w:fldCharType="separate"/>
        </w:r>
        <w:r>
          <w:rPr>
            <w:noProof/>
            <w:webHidden/>
          </w:rPr>
          <w:t>30</w:t>
        </w:r>
        <w:r>
          <w:rPr>
            <w:noProof/>
            <w:webHidden/>
          </w:rPr>
          <w:fldChar w:fldCharType="end"/>
        </w:r>
      </w:hyperlink>
    </w:p>
    <w:p w14:paraId="6C34F060"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6" w:history="1">
        <w:r w:rsidRPr="00BE0884">
          <w:rPr>
            <w:rStyle w:val="Hyperlink"/>
            <w:noProof/>
          </w:rPr>
          <w:t xml:space="preserve">Table 4.15: Average Event-Hour Load Impacts by Event, </w:t>
        </w:r>
        <w:r w:rsidRPr="00BE0884">
          <w:rPr>
            <w:rStyle w:val="Hyperlink"/>
            <w:i/>
            <w:noProof/>
          </w:rPr>
          <w:t>PG&amp;E</w:t>
        </w:r>
        <w:r w:rsidRPr="00BE0884">
          <w:rPr>
            <w:rStyle w:val="Hyperlink"/>
            <w:noProof/>
          </w:rPr>
          <w:t xml:space="preserve"> </w:t>
        </w:r>
        <w:r w:rsidRPr="00BE0884">
          <w:rPr>
            <w:rStyle w:val="Hyperlink"/>
            <w:i/>
            <w:noProof/>
          </w:rPr>
          <w:t>TA/TI</w:t>
        </w:r>
        <w:r>
          <w:rPr>
            <w:noProof/>
            <w:webHidden/>
          </w:rPr>
          <w:tab/>
        </w:r>
        <w:r>
          <w:rPr>
            <w:noProof/>
            <w:webHidden/>
          </w:rPr>
          <w:fldChar w:fldCharType="begin"/>
        </w:r>
        <w:r>
          <w:rPr>
            <w:noProof/>
            <w:webHidden/>
          </w:rPr>
          <w:instrText xml:space="preserve"> PAGEREF _Toc415761886 \h </w:instrText>
        </w:r>
        <w:r>
          <w:rPr>
            <w:noProof/>
            <w:webHidden/>
          </w:rPr>
        </w:r>
        <w:r>
          <w:rPr>
            <w:noProof/>
            <w:webHidden/>
          </w:rPr>
          <w:fldChar w:fldCharType="separate"/>
        </w:r>
        <w:r>
          <w:rPr>
            <w:noProof/>
            <w:webHidden/>
          </w:rPr>
          <w:t>32</w:t>
        </w:r>
        <w:r>
          <w:rPr>
            <w:noProof/>
            <w:webHidden/>
          </w:rPr>
          <w:fldChar w:fldCharType="end"/>
        </w:r>
      </w:hyperlink>
    </w:p>
    <w:p w14:paraId="45F67182"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7" w:history="1">
        <w:r w:rsidRPr="00BE0884">
          <w:rPr>
            <w:rStyle w:val="Hyperlink"/>
            <w:noProof/>
          </w:rPr>
          <w:t xml:space="preserve">Table 4.16: Average Event-Hour Load Impacts by Event, </w:t>
        </w:r>
        <w:r w:rsidRPr="00BE0884">
          <w:rPr>
            <w:rStyle w:val="Hyperlink"/>
            <w:i/>
            <w:noProof/>
          </w:rPr>
          <w:t>PG&amp;E</w:t>
        </w:r>
        <w:r w:rsidRPr="00BE0884">
          <w:rPr>
            <w:rStyle w:val="Hyperlink"/>
            <w:noProof/>
          </w:rPr>
          <w:t xml:space="preserve"> </w:t>
        </w:r>
        <w:r w:rsidRPr="00BE0884">
          <w:rPr>
            <w:rStyle w:val="Hyperlink"/>
            <w:i/>
            <w:noProof/>
          </w:rPr>
          <w:t>AutoDR</w:t>
        </w:r>
        <w:r>
          <w:rPr>
            <w:noProof/>
            <w:webHidden/>
          </w:rPr>
          <w:tab/>
        </w:r>
        <w:r>
          <w:rPr>
            <w:noProof/>
            <w:webHidden/>
          </w:rPr>
          <w:fldChar w:fldCharType="begin"/>
        </w:r>
        <w:r>
          <w:rPr>
            <w:noProof/>
            <w:webHidden/>
          </w:rPr>
          <w:instrText xml:space="preserve"> PAGEREF _Toc415761887 \h </w:instrText>
        </w:r>
        <w:r>
          <w:rPr>
            <w:noProof/>
            <w:webHidden/>
          </w:rPr>
        </w:r>
        <w:r>
          <w:rPr>
            <w:noProof/>
            <w:webHidden/>
          </w:rPr>
          <w:fldChar w:fldCharType="separate"/>
        </w:r>
        <w:r>
          <w:rPr>
            <w:noProof/>
            <w:webHidden/>
          </w:rPr>
          <w:t>32</w:t>
        </w:r>
        <w:r>
          <w:rPr>
            <w:noProof/>
            <w:webHidden/>
          </w:rPr>
          <w:fldChar w:fldCharType="end"/>
        </w:r>
      </w:hyperlink>
    </w:p>
    <w:p w14:paraId="1A6D71F4"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8" w:history="1">
        <w:r w:rsidRPr="00BE0884">
          <w:rPr>
            <w:rStyle w:val="Hyperlink"/>
            <w:noProof/>
          </w:rPr>
          <w:t xml:space="preserve">Table 4.17: Average Event-Hour Load Impacts by Event, </w:t>
        </w:r>
        <w:r w:rsidRPr="00BE0884">
          <w:rPr>
            <w:rStyle w:val="Hyperlink"/>
            <w:i/>
            <w:noProof/>
          </w:rPr>
          <w:t>SCE TA/TI</w:t>
        </w:r>
        <w:r>
          <w:rPr>
            <w:noProof/>
            <w:webHidden/>
          </w:rPr>
          <w:tab/>
        </w:r>
        <w:r>
          <w:rPr>
            <w:noProof/>
            <w:webHidden/>
          </w:rPr>
          <w:fldChar w:fldCharType="begin"/>
        </w:r>
        <w:r>
          <w:rPr>
            <w:noProof/>
            <w:webHidden/>
          </w:rPr>
          <w:instrText xml:space="preserve"> PAGEREF _Toc415761888 \h </w:instrText>
        </w:r>
        <w:r>
          <w:rPr>
            <w:noProof/>
            <w:webHidden/>
          </w:rPr>
        </w:r>
        <w:r>
          <w:rPr>
            <w:noProof/>
            <w:webHidden/>
          </w:rPr>
          <w:fldChar w:fldCharType="separate"/>
        </w:r>
        <w:r>
          <w:rPr>
            <w:noProof/>
            <w:webHidden/>
          </w:rPr>
          <w:t>33</w:t>
        </w:r>
        <w:r>
          <w:rPr>
            <w:noProof/>
            <w:webHidden/>
          </w:rPr>
          <w:fldChar w:fldCharType="end"/>
        </w:r>
      </w:hyperlink>
    </w:p>
    <w:p w14:paraId="73B95C6D"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89" w:history="1">
        <w:r w:rsidRPr="00BE0884">
          <w:rPr>
            <w:rStyle w:val="Hyperlink"/>
            <w:noProof/>
          </w:rPr>
          <w:t xml:space="preserve">Table 4.18: Average Event-Hour Load Impacts by Event, </w:t>
        </w:r>
        <w:r w:rsidRPr="00BE0884">
          <w:rPr>
            <w:rStyle w:val="Hyperlink"/>
            <w:i/>
            <w:noProof/>
          </w:rPr>
          <w:t>SCE AutoDR</w:t>
        </w:r>
        <w:r>
          <w:rPr>
            <w:noProof/>
            <w:webHidden/>
          </w:rPr>
          <w:tab/>
        </w:r>
        <w:r>
          <w:rPr>
            <w:noProof/>
            <w:webHidden/>
          </w:rPr>
          <w:fldChar w:fldCharType="begin"/>
        </w:r>
        <w:r>
          <w:rPr>
            <w:noProof/>
            <w:webHidden/>
          </w:rPr>
          <w:instrText xml:space="preserve"> PAGEREF _Toc415761889 \h </w:instrText>
        </w:r>
        <w:r>
          <w:rPr>
            <w:noProof/>
            <w:webHidden/>
          </w:rPr>
        </w:r>
        <w:r>
          <w:rPr>
            <w:noProof/>
            <w:webHidden/>
          </w:rPr>
          <w:fldChar w:fldCharType="separate"/>
        </w:r>
        <w:r>
          <w:rPr>
            <w:noProof/>
            <w:webHidden/>
          </w:rPr>
          <w:t>33</w:t>
        </w:r>
        <w:r>
          <w:rPr>
            <w:noProof/>
            <w:webHidden/>
          </w:rPr>
          <w:fldChar w:fldCharType="end"/>
        </w:r>
      </w:hyperlink>
    </w:p>
    <w:p w14:paraId="291BCA0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0" w:history="1">
        <w:r w:rsidRPr="00BE0884">
          <w:rPr>
            <w:rStyle w:val="Hyperlink"/>
            <w:noProof/>
          </w:rPr>
          <w:t xml:space="preserve">Table 5.1: Descriptions of Terms included in the </w:t>
        </w:r>
        <w:r w:rsidRPr="00BE0884">
          <w:rPr>
            <w:rStyle w:val="Hyperlink"/>
            <w:i/>
            <w:noProof/>
          </w:rPr>
          <w:t>Ex-ante</w:t>
        </w:r>
        <w:r w:rsidRPr="00BE0884">
          <w:rPr>
            <w:rStyle w:val="Hyperlink"/>
            <w:noProof/>
          </w:rPr>
          <w:t xml:space="preserve"> Regression Equation</w:t>
        </w:r>
        <w:r>
          <w:rPr>
            <w:noProof/>
            <w:webHidden/>
          </w:rPr>
          <w:tab/>
        </w:r>
        <w:r>
          <w:rPr>
            <w:noProof/>
            <w:webHidden/>
          </w:rPr>
          <w:fldChar w:fldCharType="begin"/>
        </w:r>
        <w:r>
          <w:rPr>
            <w:noProof/>
            <w:webHidden/>
          </w:rPr>
          <w:instrText xml:space="preserve"> PAGEREF _Toc415761890 \h </w:instrText>
        </w:r>
        <w:r>
          <w:rPr>
            <w:noProof/>
            <w:webHidden/>
          </w:rPr>
        </w:r>
        <w:r>
          <w:rPr>
            <w:noProof/>
            <w:webHidden/>
          </w:rPr>
          <w:fldChar w:fldCharType="separate"/>
        </w:r>
        <w:r>
          <w:rPr>
            <w:noProof/>
            <w:webHidden/>
          </w:rPr>
          <w:t>36</w:t>
        </w:r>
        <w:r>
          <w:rPr>
            <w:noProof/>
            <w:webHidden/>
          </w:rPr>
          <w:fldChar w:fldCharType="end"/>
        </w:r>
      </w:hyperlink>
    </w:p>
    <w:p w14:paraId="2A22D8FF"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1" w:history="1">
        <w:r w:rsidRPr="00BE0884">
          <w:rPr>
            <w:rStyle w:val="Hyperlink"/>
            <w:noProof/>
          </w:rPr>
          <w:t xml:space="preserve">Table 5.2: Method of Adapting the </w:t>
        </w:r>
        <w:r w:rsidRPr="00BE0884">
          <w:rPr>
            <w:rStyle w:val="Hyperlink"/>
            <w:i/>
            <w:noProof/>
          </w:rPr>
          <w:t>Ex-post</w:t>
        </w:r>
        <w:r w:rsidRPr="00BE0884">
          <w:rPr>
            <w:rStyle w:val="Hyperlink"/>
            <w:noProof/>
          </w:rPr>
          <w:t xml:space="preserve"> Event Window to the </w:t>
        </w:r>
        <w:r w:rsidRPr="00BE0884">
          <w:rPr>
            <w:rStyle w:val="Hyperlink"/>
            <w:i/>
            <w:noProof/>
          </w:rPr>
          <w:t>Ex-ante</w:t>
        </w:r>
        <w:r w:rsidRPr="00BE0884">
          <w:rPr>
            <w:rStyle w:val="Hyperlink"/>
            <w:noProof/>
          </w:rPr>
          <w:t xml:space="preserve"> Window, </w:t>
        </w:r>
        <w:r w:rsidRPr="00BE0884">
          <w:rPr>
            <w:rStyle w:val="Hyperlink"/>
            <w:i/>
            <w:noProof/>
          </w:rPr>
          <w:t>PG&amp;E and SCE</w:t>
        </w:r>
        <w:r>
          <w:rPr>
            <w:noProof/>
            <w:webHidden/>
          </w:rPr>
          <w:tab/>
        </w:r>
        <w:r>
          <w:rPr>
            <w:noProof/>
            <w:webHidden/>
          </w:rPr>
          <w:fldChar w:fldCharType="begin"/>
        </w:r>
        <w:r>
          <w:rPr>
            <w:noProof/>
            <w:webHidden/>
          </w:rPr>
          <w:instrText xml:space="preserve"> PAGEREF _Toc415761891 \h </w:instrText>
        </w:r>
        <w:r>
          <w:rPr>
            <w:noProof/>
            <w:webHidden/>
          </w:rPr>
        </w:r>
        <w:r>
          <w:rPr>
            <w:noProof/>
            <w:webHidden/>
          </w:rPr>
          <w:fldChar w:fldCharType="separate"/>
        </w:r>
        <w:r>
          <w:rPr>
            <w:noProof/>
            <w:webHidden/>
          </w:rPr>
          <w:t>37</w:t>
        </w:r>
        <w:r>
          <w:rPr>
            <w:noProof/>
            <w:webHidden/>
          </w:rPr>
          <w:fldChar w:fldCharType="end"/>
        </w:r>
      </w:hyperlink>
    </w:p>
    <w:p w14:paraId="15EB6FAD"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2" w:history="1">
        <w:r w:rsidRPr="00BE0884">
          <w:rPr>
            <w:rStyle w:val="Hyperlink"/>
            <w:noProof/>
          </w:rPr>
          <w:t xml:space="preserve">Table 5.3: Per-customer </w:t>
        </w:r>
        <w:r w:rsidRPr="00BE0884">
          <w:rPr>
            <w:rStyle w:val="Hyperlink"/>
            <w:i/>
            <w:noProof/>
          </w:rPr>
          <w:t>Ex-ante</w:t>
        </w:r>
        <w:r w:rsidRPr="00BE0884">
          <w:rPr>
            <w:rStyle w:val="Hyperlink"/>
            <w:noProof/>
          </w:rPr>
          <w:t xml:space="preserve"> Load Impacts, </w:t>
        </w:r>
        <w:r w:rsidRPr="00BE0884">
          <w:rPr>
            <w:rStyle w:val="Hyperlink"/>
            <w:i/>
            <w:noProof/>
          </w:rPr>
          <w:t>PG&amp;E</w:t>
        </w:r>
        <w:r>
          <w:rPr>
            <w:noProof/>
            <w:webHidden/>
          </w:rPr>
          <w:tab/>
        </w:r>
        <w:r>
          <w:rPr>
            <w:noProof/>
            <w:webHidden/>
          </w:rPr>
          <w:fldChar w:fldCharType="begin"/>
        </w:r>
        <w:r>
          <w:rPr>
            <w:noProof/>
            <w:webHidden/>
          </w:rPr>
          <w:instrText xml:space="preserve"> PAGEREF _Toc415761892 \h </w:instrText>
        </w:r>
        <w:r>
          <w:rPr>
            <w:noProof/>
            <w:webHidden/>
          </w:rPr>
        </w:r>
        <w:r>
          <w:rPr>
            <w:noProof/>
            <w:webHidden/>
          </w:rPr>
          <w:fldChar w:fldCharType="separate"/>
        </w:r>
        <w:r>
          <w:rPr>
            <w:noProof/>
            <w:webHidden/>
          </w:rPr>
          <w:t>43</w:t>
        </w:r>
        <w:r>
          <w:rPr>
            <w:noProof/>
            <w:webHidden/>
          </w:rPr>
          <w:fldChar w:fldCharType="end"/>
        </w:r>
      </w:hyperlink>
    </w:p>
    <w:p w14:paraId="04280CCE"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3" w:history="1">
        <w:r w:rsidRPr="00BE0884">
          <w:rPr>
            <w:rStyle w:val="Hyperlink"/>
            <w:noProof/>
          </w:rPr>
          <w:t xml:space="preserve">Table 5.4: Per-customer </w:t>
        </w:r>
        <w:r w:rsidRPr="00BE0884">
          <w:rPr>
            <w:rStyle w:val="Hyperlink"/>
            <w:i/>
            <w:noProof/>
          </w:rPr>
          <w:t>Ex-ante</w:t>
        </w:r>
        <w:r w:rsidRPr="00BE0884">
          <w:rPr>
            <w:rStyle w:val="Hyperlink"/>
            <w:noProof/>
          </w:rPr>
          <w:t xml:space="preserve"> Load Impacts, </w:t>
        </w:r>
        <w:r w:rsidRPr="00BE0884">
          <w:rPr>
            <w:rStyle w:val="Hyperlink"/>
            <w:i/>
            <w:noProof/>
          </w:rPr>
          <w:t>SCE</w:t>
        </w:r>
        <w:r>
          <w:rPr>
            <w:noProof/>
            <w:webHidden/>
          </w:rPr>
          <w:tab/>
        </w:r>
        <w:r>
          <w:rPr>
            <w:noProof/>
            <w:webHidden/>
          </w:rPr>
          <w:fldChar w:fldCharType="begin"/>
        </w:r>
        <w:r>
          <w:rPr>
            <w:noProof/>
            <w:webHidden/>
          </w:rPr>
          <w:instrText xml:space="preserve"> PAGEREF _Toc415761893 \h </w:instrText>
        </w:r>
        <w:r>
          <w:rPr>
            <w:noProof/>
            <w:webHidden/>
          </w:rPr>
        </w:r>
        <w:r>
          <w:rPr>
            <w:noProof/>
            <w:webHidden/>
          </w:rPr>
          <w:fldChar w:fldCharType="separate"/>
        </w:r>
        <w:r>
          <w:rPr>
            <w:noProof/>
            <w:webHidden/>
          </w:rPr>
          <w:t>47</w:t>
        </w:r>
        <w:r>
          <w:rPr>
            <w:noProof/>
            <w:webHidden/>
          </w:rPr>
          <w:fldChar w:fldCharType="end"/>
        </w:r>
      </w:hyperlink>
    </w:p>
    <w:p w14:paraId="0F7FDCD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4" w:history="1">
        <w:r w:rsidRPr="00BE0884">
          <w:rPr>
            <w:rStyle w:val="Hyperlink"/>
            <w:noProof/>
          </w:rPr>
          <w:t xml:space="preserve">Table 6.1: Comparison of Average Event-day </w:t>
        </w:r>
        <w:r w:rsidRPr="00BE0884">
          <w:rPr>
            <w:rStyle w:val="Hyperlink"/>
            <w:i/>
            <w:noProof/>
          </w:rPr>
          <w:t>Ex-post</w:t>
        </w:r>
        <w:r w:rsidRPr="00BE0884">
          <w:rPr>
            <w:rStyle w:val="Hyperlink"/>
            <w:noProof/>
          </w:rPr>
          <w:t xml:space="preserve"> Impacts (in MW) in PY 2012 through PY 2014, </w:t>
        </w:r>
        <w:r w:rsidRPr="00BE0884">
          <w:rPr>
            <w:rStyle w:val="Hyperlink"/>
            <w:i/>
            <w:noProof/>
          </w:rPr>
          <w:t>PG&amp;E</w:t>
        </w:r>
        <w:r>
          <w:rPr>
            <w:noProof/>
            <w:webHidden/>
          </w:rPr>
          <w:tab/>
        </w:r>
        <w:r>
          <w:rPr>
            <w:noProof/>
            <w:webHidden/>
          </w:rPr>
          <w:fldChar w:fldCharType="begin"/>
        </w:r>
        <w:r>
          <w:rPr>
            <w:noProof/>
            <w:webHidden/>
          </w:rPr>
          <w:instrText xml:space="preserve"> PAGEREF _Toc415761894 \h </w:instrText>
        </w:r>
        <w:r>
          <w:rPr>
            <w:noProof/>
            <w:webHidden/>
          </w:rPr>
        </w:r>
        <w:r>
          <w:rPr>
            <w:noProof/>
            <w:webHidden/>
          </w:rPr>
          <w:fldChar w:fldCharType="separate"/>
        </w:r>
        <w:r>
          <w:rPr>
            <w:noProof/>
            <w:webHidden/>
          </w:rPr>
          <w:t>50</w:t>
        </w:r>
        <w:r>
          <w:rPr>
            <w:noProof/>
            <w:webHidden/>
          </w:rPr>
          <w:fldChar w:fldCharType="end"/>
        </w:r>
      </w:hyperlink>
    </w:p>
    <w:p w14:paraId="374882DE"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5" w:history="1">
        <w:r w:rsidRPr="00BE0884">
          <w:rPr>
            <w:rStyle w:val="Hyperlink"/>
            <w:noProof/>
          </w:rPr>
          <w:t xml:space="preserve">Table 6.2: Comparison of </w:t>
        </w:r>
        <w:r w:rsidRPr="00BE0884">
          <w:rPr>
            <w:rStyle w:val="Hyperlink"/>
            <w:i/>
            <w:noProof/>
          </w:rPr>
          <w:t>Ex-ante</w:t>
        </w:r>
        <w:r w:rsidRPr="00BE0884">
          <w:rPr>
            <w:rStyle w:val="Hyperlink"/>
            <w:noProof/>
          </w:rPr>
          <w:t xml:space="preserve"> Impacts from PY 2013 and PY 2014 Studies, </w:t>
        </w:r>
        <w:r w:rsidRPr="00BE0884">
          <w:rPr>
            <w:rStyle w:val="Hyperlink"/>
            <w:i/>
            <w:noProof/>
          </w:rPr>
          <w:t>PG&amp;E</w:t>
        </w:r>
        <w:r>
          <w:rPr>
            <w:noProof/>
            <w:webHidden/>
          </w:rPr>
          <w:tab/>
        </w:r>
        <w:r>
          <w:rPr>
            <w:noProof/>
            <w:webHidden/>
          </w:rPr>
          <w:fldChar w:fldCharType="begin"/>
        </w:r>
        <w:r>
          <w:rPr>
            <w:noProof/>
            <w:webHidden/>
          </w:rPr>
          <w:instrText xml:space="preserve"> PAGEREF _Toc415761895 \h </w:instrText>
        </w:r>
        <w:r>
          <w:rPr>
            <w:noProof/>
            <w:webHidden/>
          </w:rPr>
        </w:r>
        <w:r>
          <w:rPr>
            <w:noProof/>
            <w:webHidden/>
          </w:rPr>
          <w:fldChar w:fldCharType="separate"/>
        </w:r>
        <w:r>
          <w:rPr>
            <w:noProof/>
            <w:webHidden/>
          </w:rPr>
          <w:t>50</w:t>
        </w:r>
        <w:r>
          <w:rPr>
            <w:noProof/>
            <w:webHidden/>
          </w:rPr>
          <w:fldChar w:fldCharType="end"/>
        </w:r>
      </w:hyperlink>
    </w:p>
    <w:p w14:paraId="73D15929"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6" w:history="1">
        <w:r w:rsidRPr="00BE0884">
          <w:rPr>
            <w:rStyle w:val="Hyperlink"/>
            <w:noProof/>
          </w:rPr>
          <w:t xml:space="preserve">Table 6.3 Comparison of Previous </w:t>
        </w:r>
        <w:r w:rsidRPr="00BE0884">
          <w:rPr>
            <w:rStyle w:val="Hyperlink"/>
            <w:i/>
            <w:noProof/>
          </w:rPr>
          <w:t>Ex-ante</w:t>
        </w:r>
        <w:r w:rsidRPr="00BE0884">
          <w:rPr>
            <w:rStyle w:val="Hyperlink"/>
            <w:noProof/>
          </w:rPr>
          <w:t xml:space="preserve"> and Current </w:t>
        </w:r>
        <w:r w:rsidRPr="00BE0884">
          <w:rPr>
            <w:rStyle w:val="Hyperlink"/>
            <w:i/>
            <w:noProof/>
          </w:rPr>
          <w:t>Ex-post</w:t>
        </w:r>
        <w:r w:rsidRPr="00BE0884">
          <w:rPr>
            <w:rStyle w:val="Hyperlink"/>
            <w:noProof/>
          </w:rPr>
          <w:t xml:space="preserve"> Impacts, </w:t>
        </w:r>
        <w:r w:rsidRPr="00BE0884">
          <w:rPr>
            <w:rStyle w:val="Hyperlink"/>
            <w:i/>
            <w:noProof/>
          </w:rPr>
          <w:t>PG&amp;E</w:t>
        </w:r>
        <w:r>
          <w:rPr>
            <w:noProof/>
            <w:webHidden/>
          </w:rPr>
          <w:tab/>
        </w:r>
        <w:r>
          <w:rPr>
            <w:noProof/>
            <w:webHidden/>
          </w:rPr>
          <w:fldChar w:fldCharType="begin"/>
        </w:r>
        <w:r>
          <w:rPr>
            <w:noProof/>
            <w:webHidden/>
          </w:rPr>
          <w:instrText xml:space="preserve"> PAGEREF _Toc415761896 \h </w:instrText>
        </w:r>
        <w:r>
          <w:rPr>
            <w:noProof/>
            <w:webHidden/>
          </w:rPr>
        </w:r>
        <w:r>
          <w:rPr>
            <w:noProof/>
            <w:webHidden/>
          </w:rPr>
          <w:fldChar w:fldCharType="separate"/>
        </w:r>
        <w:r>
          <w:rPr>
            <w:noProof/>
            <w:webHidden/>
          </w:rPr>
          <w:t>51</w:t>
        </w:r>
        <w:r>
          <w:rPr>
            <w:noProof/>
            <w:webHidden/>
          </w:rPr>
          <w:fldChar w:fldCharType="end"/>
        </w:r>
      </w:hyperlink>
    </w:p>
    <w:p w14:paraId="415663E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7" w:history="1">
        <w:r w:rsidRPr="00BE0884">
          <w:rPr>
            <w:rStyle w:val="Hyperlink"/>
            <w:noProof/>
          </w:rPr>
          <w:t xml:space="preserve">Table 6.4 Comparison of Current </w:t>
        </w:r>
        <w:r w:rsidRPr="00BE0884">
          <w:rPr>
            <w:rStyle w:val="Hyperlink"/>
            <w:i/>
            <w:noProof/>
          </w:rPr>
          <w:t>Ex-post</w:t>
        </w:r>
        <w:r w:rsidRPr="00BE0884">
          <w:rPr>
            <w:rStyle w:val="Hyperlink"/>
            <w:noProof/>
          </w:rPr>
          <w:t xml:space="preserve"> and </w:t>
        </w:r>
        <w:r w:rsidRPr="00BE0884">
          <w:rPr>
            <w:rStyle w:val="Hyperlink"/>
            <w:i/>
            <w:noProof/>
          </w:rPr>
          <w:t>Ex-ante</w:t>
        </w:r>
        <w:r w:rsidRPr="00BE0884">
          <w:rPr>
            <w:rStyle w:val="Hyperlink"/>
            <w:noProof/>
          </w:rPr>
          <w:t xml:space="preserve"> Load Impacts, </w:t>
        </w:r>
        <w:r w:rsidRPr="00BE0884">
          <w:rPr>
            <w:rStyle w:val="Hyperlink"/>
            <w:i/>
            <w:noProof/>
          </w:rPr>
          <w:t>PG&amp;E</w:t>
        </w:r>
        <w:r>
          <w:rPr>
            <w:noProof/>
            <w:webHidden/>
          </w:rPr>
          <w:tab/>
        </w:r>
        <w:r>
          <w:rPr>
            <w:noProof/>
            <w:webHidden/>
          </w:rPr>
          <w:fldChar w:fldCharType="begin"/>
        </w:r>
        <w:r>
          <w:rPr>
            <w:noProof/>
            <w:webHidden/>
          </w:rPr>
          <w:instrText xml:space="preserve"> PAGEREF _Toc415761897 \h </w:instrText>
        </w:r>
        <w:r>
          <w:rPr>
            <w:noProof/>
            <w:webHidden/>
          </w:rPr>
        </w:r>
        <w:r>
          <w:rPr>
            <w:noProof/>
            <w:webHidden/>
          </w:rPr>
          <w:fldChar w:fldCharType="separate"/>
        </w:r>
        <w:r>
          <w:rPr>
            <w:noProof/>
            <w:webHidden/>
          </w:rPr>
          <w:t>52</w:t>
        </w:r>
        <w:r>
          <w:rPr>
            <w:noProof/>
            <w:webHidden/>
          </w:rPr>
          <w:fldChar w:fldCharType="end"/>
        </w:r>
      </w:hyperlink>
    </w:p>
    <w:p w14:paraId="2A44091C"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8" w:history="1">
        <w:r w:rsidRPr="00BE0884">
          <w:rPr>
            <w:rStyle w:val="Hyperlink"/>
            <w:noProof/>
          </w:rPr>
          <w:t xml:space="preserve">Table 6.5: PG&amp;E </w:t>
        </w:r>
        <w:r w:rsidRPr="00BE0884">
          <w:rPr>
            <w:rStyle w:val="Hyperlink"/>
            <w:i/>
            <w:noProof/>
          </w:rPr>
          <w:t>Ex-post</w:t>
        </w:r>
        <w:r w:rsidRPr="00BE0884">
          <w:rPr>
            <w:rStyle w:val="Hyperlink"/>
            <w:noProof/>
          </w:rPr>
          <w:t xml:space="preserve"> versus </w:t>
        </w:r>
        <w:r w:rsidRPr="00BE0884">
          <w:rPr>
            <w:rStyle w:val="Hyperlink"/>
            <w:i/>
            <w:noProof/>
          </w:rPr>
          <w:t>Ex-ante</w:t>
        </w:r>
        <w:r w:rsidRPr="00BE0884">
          <w:rPr>
            <w:rStyle w:val="Hyperlink"/>
            <w:noProof/>
          </w:rPr>
          <w:t xml:space="preserve"> Factors</w:t>
        </w:r>
        <w:r>
          <w:rPr>
            <w:noProof/>
            <w:webHidden/>
          </w:rPr>
          <w:tab/>
        </w:r>
        <w:r>
          <w:rPr>
            <w:noProof/>
            <w:webHidden/>
          </w:rPr>
          <w:fldChar w:fldCharType="begin"/>
        </w:r>
        <w:r>
          <w:rPr>
            <w:noProof/>
            <w:webHidden/>
          </w:rPr>
          <w:instrText xml:space="preserve"> PAGEREF _Toc415761898 \h </w:instrText>
        </w:r>
        <w:r>
          <w:rPr>
            <w:noProof/>
            <w:webHidden/>
          </w:rPr>
        </w:r>
        <w:r>
          <w:rPr>
            <w:noProof/>
            <w:webHidden/>
          </w:rPr>
          <w:fldChar w:fldCharType="separate"/>
        </w:r>
        <w:r>
          <w:rPr>
            <w:noProof/>
            <w:webHidden/>
          </w:rPr>
          <w:t>53</w:t>
        </w:r>
        <w:r>
          <w:rPr>
            <w:noProof/>
            <w:webHidden/>
          </w:rPr>
          <w:fldChar w:fldCharType="end"/>
        </w:r>
      </w:hyperlink>
    </w:p>
    <w:p w14:paraId="0F1E4FBE"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899" w:history="1">
        <w:r w:rsidRPr="00BE0884">
          <w:rPr>
            <w:rStyle w:val="Hyperlink"/>
            <w:noProof/>
          </w:rPr>
          <w:t xml:space="preserve">Table 6.6: Reconciling </w:t>
        </w:r>
        <w:r w:rsidRPr="00BE0884">
          <w:rPr>
            <w:rStyle w:val="Hyperlink"/>
            <w:i/>
            <w:noProof/>
          </w:rPr>
          <w:t>Ex-post</w:t>
        </w:r>
        <w:r w:rsidRPr="00BE0884">
          <w:rPr>
            <w:rStyle w:val="Hyperlink"/>
            <w:noProof/>
          </w:rPr>
          <w:t xml:space="preserve"> and </w:t>
        </w:r>
        <w:r w:rsidRPr="00BE0884">
          <w:rPr>
            <w:rStyle w:val="Hyperlink"/>
            <w:i/>
            <w:noProof/>
          </w:rPr>
          <w:t>Ex-ante</w:t>
        </w:r>
        <w:r w:rsidRPr="00BE0884">
          <w:rPr>
            <w:rStyle w:val="Hyperlink"/>
            <w:noProof/>
          </w:rPr>
          <w:t xml:space="preserve"> Load Impacts, PG&amp;E</w:t>
        </w:r>
        <w:r>
          <w:rPr>
            <w:noProof/>
            <w:webHidden/>
          </w:rPr>
          <w:tab/>
        </w:r>
        <w:r>
          <w:rPr>
            <w:noProof/>
            <w:webHidden/>
          </w:rPr>
          <w:fldChar w:fldCharType="begin"/>
        </w:r>
        <w:r>
          <w:rPr>
            <w:noProof/>
            <w:webHidden/>
          </w:rPr>
          <w:instrText xml:space="preserve"> PAGEREF _Toc415761899 \h </w:instrText>
        </w:r>
        <w:r>
          <w:rPr>
            <w:noProof/>
            <w:webHidden/>
          </w:rPr>
        </w:r>
        <w:r>
          <w:rPr>
            <w:noProof/>
            <w:webHidden/>
          </w:rPr>
          <w:fldChar w:fldCharType="separate"/>
        </w:r>
        <w:r>
          <w:rPr>
            <w:noProof/>
            <w:webHidden/>
          </w:rPr>
          <w:t>54</w:t>
        </w:r>
        <w:r>
          <w:rPr>
            <w:noProof/>
            <w:webHidden/>
          </w:rPr>
          <w:fldChar w:fldCharType="end"/>
        </w:r>
      </w:hyperlink>
    </w:p>
    <w:p w14:paraId="18E5D3F7"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0" w:history="1">
        <w:r w:rsidRPr="00BE0884">
          <w:rPr>
            <w:rStyle w:val="Hyperlink"/>
            <w:noProof/>
          </w:rPr>
          <w:t xml:space="preserve">Table 6.7 Comparison of Average Event-day </w:t>
        </w:r>
        <w:r w:rsidRPr="00BE0884">
          <w:rPr>
            <w:rStyle w:val="Hyperlink"/>
            <w:i/>
            <w:noProof/>
          </w:rPr>
          <w:t>Ex-post</w:t>
        </w:r>
        <w:r w:rsidRPr="00BE0884">
          <w:rPr>
            <w:rStyle w:val="Hyperlink"/>
            <w:noProof/>
          </w:rPr>
          <w:t xml:space="preserve"> Impacts (in MW) in PY 2012 through PY 2014, </w:t>
        </w:r>
        <w:r w:rsidRPr="00BE0884">
          <w:rPr>
            <w:rStyle w:val="Hyperlink"/>
            <w:i/>
            <w:noProof/>
          </w:rPr>
          <w:t>SCE</w:t>
        </w:r>
        <w:r>
          <w:rPr>
            <w:noProof/>
            <w:webHidden/>
          </w:rPr>
          <w:tab/>
        </w:r>
        <w:r>
          <w:rPr>
            <w:noProof/>
            <w:webHidden/>
          </w:rPr>
          <w:fldChar w:fldCharType="begin"/>
        </w:r>
        <w:r>
          <w:rPr>
            <w:noProof/>
            <w:webHidden/>
          </w:rPr>
          <w:instrText xml:space="preserve"> PAGEREF _Toc415761900 \h </w:instrText>
        </w:r>
        <w:r>
          <w:rPr>
            <w:noProof/>
            <w:webHidden/>
          </w:rPr>
        </w:r>
        <w:r>
          <w:rPr>
            <w:noProof/>
            <w:webHidden/>
          </w:rPr>
          <w:fldChar w:fldCharType="separate"/>
        </w:r>
        <w:r>
          <w:rPr>
            <w:noProof/>
            <w:webHidden/>
          </w:rPr>
          <w:t>54</w:t>
        </w:r>
        <w:r>
          <w:rPr>
            <w:noProof/>
            <w:webHidden/>
          </w:rPr>
          <w:fldChar w:fldCharType="end"/>
        </w:r>
      </w:hyperlink>
    </w:p>
    <w:p w14:paraId="44015717"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1" w:history="1">
        <w:r w:rsidRPr="00BE0884">
          <w:rPr>
            <w:rStyle w:val="Hyperlink"/>
            <w:noProof/>
          </w:rPr>
          <w:t xml:space="preserve">Table 6.8: Comparison of </w:t>
        </w:r>
        <w:r w:rsidRPr="00BE0884">
          <w:rPr>
            <w:rStyle w:val="Hyperlink"/>
            <w:i/>
            <w:noProof/>
          </w:rPr>
          <w:t>Ex-ante</w:t>
        </w:r>
        <w:r w:rsidRPr="00BE0884">
          <w:rPr>
            <w:rStyle w:val="Hyperlink"/>
            <w:noProof/>
          </w:rPr>
          <w:t xml:space="preserve"> Impacts from PY 2013 and PY 2014 Studies, </w:t>
        </w:r>
        <w:r w:rsidRPr="00BE0884">
          <w:rPr>
            <w:rStyle w:val="Hyperlink"/>
            <w:i/>
            <w:noProof/>
          </w:rPr>
          <w:t>SCE</w:t>
        </w:r>
        <w:r>
          <w:rPr>
            <w:noProof/>
            <w:webHidden/>
          </w:rPr>
          <w:tab/>
        </w:r>
        <w:r>
          <w:rPr>
            <w:noProof/>
            <w:webHidden/>
          </w:rPr>
          <w:fldChar w:fldCharType="begin"/>
        </w:r>
        <w:r>
          <w:rPr>
            <w:noProof/>
            <w:webHidden/>
          </w:rPr>
          <w:instrText xml:space="preserve"> PAGEREF _Toc415761901 \h </w:instrText>
        </w:r>
        <w:r>
          <w:rPr>
            <w:noProof/>
            <w:webHidden/>
          </w:rPr>
        </w:r>
        <w:r>
          <w:rPr>
            <w:noProof/>
            <w:webHidden/>
          </w:rPr>
          <w:fldChar w:fldCharType="separate"/>
        </w:r>
        <w:r>
          <w:rPr>
            <w:noProof/>
            <w:webHidden/>
          </w:rPr>
          <w:t>55</w:t>
        </w:r>
        <w:r>
          <w:rPr>
            <w:noProof/>
            <w:webHidden/>
          </w:rPr>
          <w:fldChar w:fldCharType="end"/>
        </w:r>
      </w:hyperlink>
    </w:p>
    <w:p w14:paraId="0276D537"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2" w:history="1">
        <w:r w:rsidRPr="00BE0884">
          <w:rPr>
            <w:rStyle w:val="Hyperlink"/>
            <w:noProof/>
          </w:rPr>
          <w:t xml:space="preserve">Table 6.9 Comparison of Previous </w:t>
        </w:r>
        <w:r w:rsidRPr="00BE0884">
          <w:rPr>
            <w:rStyle w:val="Hyperlink"/>
            <w:i/>
            <w:noProof/>
          </w:rPr>
          <w:t>Ex-ante</w:t>
        </w:r>
        <w:r w:rsidRPr="00BE0884">
          <w:rPr>
            <w:rStyle w:val="Hyperlink"/>
            <w:noProof/>
          </w:rPr>
          <w:t xml:space="preserve"> and Current </w:t>
        </w:r>
        <w:r w:rsidRPr="00BE0884">
          <w:rPr>
            <w:rStyle w:val="Hyperlink"/>
            <w:i/>
            <w:noProof/>
          </w:rPr>
          <w:t>Ex-post</w:t>
        </w:r>
        <w:r w:rsidRPr="00BE0884">
          <w:rPr>
            <w:rStyle w:val="Hyperlink"/>
            <w:noProof/>
          </w:rPr>
          <w:t xml:space="preserve"> Impacts, </w:t>
        </w:r>
        <w:r w:rsidRPr="00BE0884">
          <w:rPr>
            <w:rStyle w:val="Hyperlink"/>
            <w:i/>
            <w:noProof/>
          </w:rPr>
          <w:t>SCE</w:t>
        </w:r>
        <w:r>
          <w:rPr>
            <w:noProof/>
            <w:webHidden/>
          </w:rPr>
          <w:tab/>
        </w:r>
        <w:r>
          <w:rPr>
            <w:noProof/>
            <w:webHidden/>
          </w:rPr>
          <w:fldChar w:fldCharType="begin"/>
        </w:r>
        <w:r>
          <w:rPr>
            <w:noProof/>
            <w:webHidden/>
          </w:rPr>
          <w:instrText xml:space="preserve"> PAGEREF _Toc415761902 \h </w:instrText>
        </w:r>
        <w:r>
          <w:rPr>
            <w:noProof/>
            <w:webHidden/>
          </w:rPr>
        </w:r>
        <w:r>
          <w:rPr>
            <w:noProof/>
            <w:webHidden/>
          </w:rPr>
          <w:fldChar w:fldCharType="separate"/>
        </w:r>
        <w:r>
          <w:rPr>
            <w:noProof/>
            <w:webHidden/>
          </w:rPr>
          <w:t>56</w:t>
        </w:r>
        <w:r>
          <w:rPr>
            <w:noProof/>
            <w:webHidden/>
          </w:rPr>
          <w:fldChar w:fldCharType="end"/>
        </w:r>
      </w:hyperlink>
    </w:p>
    <w:p w14:paraId="23DE59E0"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3" w:history="1">
        <w:r w:rsidRPr="00BE0884">
          <w:rPr>
            <w:rStyle w:val="Hyperlink"/>
            <w:noProof/>
          </w:rPr>
          <w:t xml:space="preserve">Table 6.10 Comparison of Bid Realization Rates from PY2012 to PY2014, </w:t>
        </w:r>
        <w:r w:rsidRPr="00BE0884">
          <w:rPr>
            <w:rStyle w:val="Hyperlink"/>
            <w:i/>
            <w:noProof/>
          </w:rPr>
          <w:t>SCE</w:t>
        </w:r>
        <w:r>
          <w:rPr>
            <w:noProof/>
            <w:webHidden/>
          </w:rPr>
          <w:tab/>
        </w:r>
        <w:r>
          <w:rPr>
            <w:noProof/>
            <w:webHidden/>
          </w:rPr>
          <w:fldChar w:fldCharType="begin"/>
        </w:r>
        <w:r>
          <w:rPr>
            <w:noProof/>
            <w:webHidden/>
          </w:rPr>
          <w:instrText xml:space="preserve"> PAGEREF _Toc415761903 \h </w:instrText>
        </w:r>
        <w:r>
          <w:rPr>
            <w:noProof/>
            <w:webHidden/>
          </w:rPr>
        </w:r>
        <w:r>
          <w:rPr>
            <w:noProof/>
            <w:webHidden/>
          </w:rPr>
          <w:fldChar w:fldCharType="separate"/>
        </w:r>
        <w:r>
          <w:rPr>
            <w:noProof/>
            <w:webHidden/>
          </w:rPr>
          <w:t>56</w:t>
        </w:r>
        <w:r>
          <w:rPr>
            <w:noProof/>
            <w:webHidden/>
          </w:rPr>
          <w:fldChar w:fldCharType="end"/>
        </w:r>
      </w:hyperlink>
    </w:p>
    <w:p w14:paraId="242AB760"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4" w:history="1">
        <w:r w:rsidRPr="00BE0884">
          <w:rPr>
            <w:rStyle w:val="Hyperlink"/>
            <w:noProof/>
          </w:rPr>
          <w:t xml:space="preserve">Table 6.11 Comparison of Current </w:t>
        </w:r>
        <w:r w:rsidRPr="00BE0884">
          <w:rPr>
            <w:rStyle w:val="Hyperlink"/>
            <w:i/>
            <w:noProof/>
          </w:rPr>
          <w:t>Ex-post</w:t>
        </w:r>
        <w:r w:rsidRPr="00BE0884">
          <w:rPr>
            <w:rStyle w:val="Hyperlink"/>
            <w:noProof/>
          </w:rPr>
          <w:t xml:space="preserve"> and </w:t>
        </w:r>
        <w:r w:rsidRPr="00BE0884">
          <w:rPr>
            <w:rStyle w:val="Hyperlink"/>
            <w:i/>
            <w:noProof/>
          </w:rPr>
          <w:t>Ex-ante</w:t>
        </w:r>
        <w:r w:rsidRPr="00BE0884">
          <w:rPr>
            <w:rStyle w:val="Hyperlink"/>
            <w:noProof/>
          </w:rPr>
          <w:t xml:space="preserve"> Impacts, </w:t>
        </w:r>
        <w:r w:rsidRPr="00BE0884">
          <w:rPr>
            <w:rStyle w:val="Hyperlink"/>
            <w:i/>
            <w:noProof/>
          </w:rPr>
          <w:t>SCE</w:t>
        </w:r>
        <w:r>
          <w:rPr>
            <w:noProof/>
            <w:webHidden/>
          </w:rPr>
          <w:tab/>
        </w:r>
        <w:r>
          <w:rPr>
            <w:noProof/>
            <w:webHidden/>
          </w:rPr>
          <w:fldChar w:fldCharType="begin"/>
        </w:r>
        <w:r>
          <w:rPr>
            <w:noProof/>
            <w:webHidden/>
          </w:rPr>
          <w:instrText xml:space="preserve"> PAGEREF _Toc415761904 \h </w:instrText>
        </w:r>
        <w:r>
          <w:rPr>
            <w:noProof/>
            <w:webHidden/>
          </w:rPr>
        </w:r>
        <w:r>
          <w:rPr>
            <w:noProof/>
            <w:webHidden/>
          </w:rPr>
          <w:fldChar w:fldCharType="separate"/>
        </w:r>
        <w:r>
          <w:rPr>
            <w:noProof/>
            <w:webHidden/>
          </w:rPr>
          <w:t>57</w:t>
        </w:r>
        <w:r>
          <w:rPr>
            <w:noProof/>
            <w:webHidden/>
          </w:rPr>
          <w:fldChar w:fldCharType="end"/>
        </w:r>
      </w:hyperlink>
    </w:p>
    <w:p w14:paraId="15C9B5E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5" w:history="1">
        <w:r w:rsidRPr="00BE0884">
          <w:rPr>
            <w:rStyle w:val="Hyperlink"/>
            <w:noProof/>
          </w:rPr>
          <w:t xml:space="preserve">Table 6.12: SCE </w:t>
        </w:r>
        <w:r w:rsidRPr="00BE0884">
          <w:rPr>
            <w:rStyle w:val="Hyperlink"/>
            <w:i/>
            <w:noProof/>
          </w:rPr>
          <w:t>Ex-post</w:t>
        </w:r>
        <w:r w:rsidRPr="00BE0884">
          <w:rPr>
            <w:rStyle w:val="Hyperlink"/>
            <w:noProof/>
          </w:rPr>
          <w:t xml:space="preserve"> versus </w:t>
        </w:r>
        <w:r w:rsidRPr="00BE0884">
          <w:rPr>
            <w:rStyle w:val="Hyperlink"/>
            <w:i/>
            <w:noProof/>
          </w:rPr>
          <w:t>Ex-ante</w:t>
        </w:r>
        <w:r w:rsidRPr="00BE0884">
          <w:rPr>
            <w:rStyle w:val="Hyperlink"/>
            <w:noProof/>
          </w:rPr>
          <w:t xml:space="preserve"> Factors</w:t>
        </w:r>
        <w:r>
          <w:rPr>
            <w:noProof/>
            <w:webHidden/>
          </w:rPr>
          <w:tab/>
        </w:r>
        <w:r>
          <w:rPr>
            <w:noProof/>
            <w:webHidden/>
          </w:rPr>
          <w:fldChar w:fldCharType="begin"/>
        </w:r>
        <w:r>
          <w:rPr>
            <w:noProof/>
            <w:webHidden/>
          </w:rPr>
          <w:instrText xml:space="preserve"> PAGEREF _Toc415761905 \h </w:instrText>
        </w:r>
        <w:r>
          <w:rPr>
            <w:noProof/>
            <w:webHidden/>
          </w:rPr>
        </w:r>
        <w:r>
          <w:rPr>
            <w:noProof/>
            <w:webHidden/>
          </w:rPr>
          <w:fldChar w:fldCharType="separate"/>
        </w:r>
        <w:r>
          <w:rPr>
            <w:noProof/>
            <w:webHidden/>
          </w:rPr>
          <w:t>58</w:t>
        </w:r>
        <w:r>
          <w:rPr>
            <w:noProof/>
            <w:webHidden/>
          </w:rPr>
          <w:fldChar w:fldCharType="end"/>
        </w:r>
      </w:hyperlink>
    </w:p>
    <w:p w14:paraId="7654BC41"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6" w:history="1">
        <w:r w:rsidRPr="00BE0884">
          <w:rPr>
            <w:rStyle w:val="Hyperlink"/>
            <w:noProof/>
          </w:rPr>
          <w:t xml:space="preserve">Table 6.13: Reconciling </w:t>
        </w:r>
        <w:r w:rsidRPr="00BE0884">
          <w:rPr>
            <w:rStyle w:val="Hyperlink"/>
            <w:i/>
            <w:noProof/>
          </w:rPr>
          <w:t>Ex-post</w:t>
        </w:r>
        <w:r w:rsidRPr="00BE0884">
          <w:rPr>
            <w:rStyle w:val="Hyperlink"/>
            <w:noProof/>
          </w:rPr>
          <w:t xml:space="preserve"> to </w:t>
        </w:r>
        <w:r w:rsidRPr="00BE0884">
          <w:rPr>
            <w:rStyle w:val="Hyperlink"/>
            <w:i/>
            <w:noProof/>
          </w:rPr>
          <w:t>Ex-ante</w:t>
        </w:r>
        <w:r w:rsidRPr="00BE0884">
          <w:rPr>
            <w:rStyle w:val="Hyperlink"/>
            <w:noProof/>
          </w:rPr>
          <w:t xml:space="preserve"> Load Impacts, </w:t>
        </w:r>
        <w:r w:rsidRPr="00BE0884">
          <w:rPr>
            <w:rStyle w:val="Hyperlink"/>
            <w:i/>
            <w:noProof/>
          </w:rPr>
          <w:t>SCE</w:t>
        </w:r>
        <w:r>
          <w:rPr>
            <w:noProof/>
            <w:webHidden/>
          </w:rPr>
          <w:tab/>
        </w:r>
        <w:r>
          <w:rPr>
            <w:noProof/>
            <w:webHidden/>
          </w:rPr>
          <w:fldChar w:fldCharType="begin"/>
        </w:r>
        <w:r>
          <w:rPr>
            <w:noProof/>
            <w:webHidden/>
          </w:rPr>
          <w:instrText xml:space="preserve"> PAGEREF _Toc415761906 \h </w:instrText>
        </w:r>
        <w:r>
          <w:rPr>
            <w:noProof/>
            <w:webHidden/>
          </w:rPr>
        </w:r>
        <w:r>
          <w:rPr>
            <w:noProof/>
            <w:webHidden/>
          </w:rPr>
          <w:fldChar w:fldCharType="separate"/>
        </w:r>
        <w:r>
          <w:rPr>
            <w:noProof/>
            <w:webHidden/>
          </w:rPr>
          <w:t>59</w:t>
        </w:r>
        <w:r>
          <w:rPr>
            <w:noProof/>
            <w:webHidden/>
          </w:rPr>
          <w:fldChar w:fldCharType="end"/>
        </w:r>
      </w:hyperlink>
    </w:p>
    <w:p w14:paraId="2BC6F92F"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7" w:history="1">
        <w:r w:rsidRPr="00BE0884">
          <w:rPr>
            <w:rStyle w:val="Hyperlink"/>
            <w:noProof/>
          </w:rPr>
          <w:t>Table A.1: Weather Variables Included in the Tested Specifications</w:t>
        </w:r>
        <w:r>
          <w:rPr>
            <w:noProof/>
            <w:webHidden/>
          </w:rPr>
          <w:tab/>
        </w:r>
        <w:r>
          <w:rPr>
            <w:noProof/>
            <w:webHidden/>
          </w:rPr>
          <w:fldChar w:fldCharType="begin"/>
        </w:r>
        <w:r>
          <w:rPr>
            <w:noProof/>
            <w:webHidden/>
          </w:rPr>
          <w:instrText xml:space="preserve"> PAGEREF _Toc415761907 \h </w:instrText>
        </w:r>
        <w:r>
          <w:rPr>
            <w:noProof/>
            <w:webHidden/>
          </w:rPr>
        </w:r>
        <w:r>
          <w:rPr>
            <w:noProof/>
            <w:webHidden/>
          </w:rPr>
          <w:fldChar w:fldCharType="separate"/>
        </w:r>
        <w:r>
          <w:rPr>
            <w:noProof/>
            <w:webHidden/>
          </w:rPr>
          <w:t>62</w:t>
        </w:r>
        <w:r>
          <w:rPr>
            <w:noProof/>
            <w:webHidden/>
          </w:rPr>
          <w:fldChar w:fldCharType="end"/>
        </w:r>
      </w:hyperlink>
    </w:p>
    <w:p w14:paraId="0B52456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8" w:history="1">
        <w:r w:rsidRPr="00BE0884">
          <w:rPr>
            <w:rStyle w:val="Hyperlink"/>
            <w:noProof/>
          </w:rPr>
          <w:t>Table A.2: List of Event-Like Non-Event Days by IOU</w:t>
        </w:r>
        <w:r>
          <w:rPr>
            <w:noProof/>
            <w:webHidden/>
          </w:rPr>
          <w:tab/>
        </w:r>
        <w:r>
          <w:rPr>
            <w:noProof/>
            <w:webHidden/>
          </w:rPr>
          <w:fldChar w:fldCharType="begin"/>
        </w:r>
        <w:r>
          <w:rPr>
            <w:noProof/>
            <w:webHidden/>
          </w:rPr>
          <w:instrText xml:space="preserve"> PAGEREF _Toc415761908 \h </w:instrText>
        </w:r>
        <w:r>
          <w:rPr>
            <w:noProof/>
            <w:webHidden/>
          </w:rPr>
        </w:r>
        <w:r>
          <w:rPr>
            <w:noProof/>
            <w:webHidden/>
          </w:rPr>
          <w:fldChar w:fldCharType="separate"/>
        </w:r>
        <w:r>
          <w:rPr>
            <w:noProof/>
            <w:webHidden/>
          </w:rPr>
          <w:t>63</w:t>
        </w:r>
        <w:r>
          <w:rPr>
            <w:noProof/>
            <w:webHidden/>
          </w:rPr>
          <w:fldChar w:fldCharType="end"/>
        </w:r>
      </w:hyperlink>
    </w:p>
    <w:p w14:paraId="6E3C9B1D"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09" w:history="1">
        <w:r w:rsidRPr="00BE0884">
          <w:rPr>
            <w:rStyle w:val="Hyperlink"/>
            <w:noProof/>
          </w:rPr>
          <w:t>Table A.3: Specification Test Results</w:t>
        </w:r>
        <w:r>
          <w:rPr>
            <w:noProof/>
            <w:webHidden/>
          </w:rPr>
          <w:tab/>
        </w:r>
        <w:r>
          <w:rPr>
            <w:noProof/>
            <w:webHidden/>
          </w:rPr>
          <w:fldChar w:fldCharType="begin"/>
        </w:r>
        <w:r>
          <w:rPr>
            <w:noProof/>
            <w:webHidden/>
          </w:rPr>
          <w:instrText xml:space="preserve"> PAGEREF _Toc415761909 \h </w:instrText>
        </w:r>
        <w:r>
          <w:rPr>
            <w:noProof/>
            <w:webHidden/>
          </w:rPr>
        </w:r>
        <w:r>
          <w:rPr>
            <w:noProof/>
            <w:webHidden/>
          </w:rPr>
          <w:fldChar w:fldCharType="separate"/>
        </w:r>
        <w:r>
          <w:rPr>
            <w:noProof/>
            <w:webHidden/>
          </w:rPr>
          <w:t>64</w:t>
        </w:r>
        <w:r>
          <w:rPr>
            <w:noProof/>
            <w:webHidden/>
          </w:rPr>
          <w:fldChar w:fldCharType="end"/>
        </w:r>
      </w:hyperlink>
    </w:p>
    <w:p w14:paraId="26179190"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0" w:history="1">
        <w:r w:rsidRPr="00BE0884">
          <w:rPr>
            <w:rStyle w:val="Hyperlink"/>
            <w:noProof/>
          </w:rPr>
          <w:t>Table A.4: Synthetic Event-Day Estimated Load Impact Coefficients and p-values by Program</w:t>
        </w:r>
        <w:r>
          <w:rPr>
            <w:noProof/>
            <w:webHidden/>
          </w:rPr>
          <w:tab/>
        </w:r>
        <w:r>
          <w:rPr>
            <w:noProof/>
            <w:webHidden/>
          </w:rPr>
          <w:fldChar w:fldCharType="begin"/>
        </w:r>
        <w:r>
          <w:rPr>
            <w:noProof/>
            <w:webHidden/>
          </w:rPr>
          <w:instrText xml:space="preserve"> PAGEREF _Toc415761910 \h </w:instrText>
        </w:r>
        <w:r>
          <w:rPr>
            <w:noProof/>
            <w:webHidden/>
          </w:rPr>
        </w:r>
        <w:r>
          <w:rPr>
            <w:noProof/>
            <w:webHidden/>
          </w:rPr>
          <w:fldChar w:fldCharType="separate"/>
        </w:r>
        <w:r>
          <w:rPr>
            <w:noProof/>
            <w:webHidden/>
          </w:rPr>
          <w:t>67</w:t>
        </w:r>
        <w:r>
          <w:rPr>
            <w:noProof/>
            <w:webHidden/>
          </w:rPr>
          <w:fldChar w:fldCharType="end"/>
        </w:r>
      </w:hyperlink>
    </w:p>
    <w:p w14:paraId="41F20E4A" w14:textId="77777777" w:rsidR="00321E09" w:rsidRDefault="00321E09" w:rsidP="002F6A10">
      <w:pPr>
        <w:spacing w:afterLines="60" w:after="144" w:line="360" w:lineRule="auto"/>
        <w:ind w:left="1181" w:right="720" w:hanging="1181"/>
        <w:jc w:val="center"/>
        <w:rPr>
          <w:b/>
          <w:sz w:val="28"/>
          <w:szCs w:val="28"/>
        </w:rPr>
        <w:sectPr w:rsidR="00321E09" w:rsidSect="00411FC1">
          <w:pgSz w:w="12240" w:h="15840"/>
          <w:pgMar w:top="1440" w:right="1440" w:bottom="1440" w:left="1440" w:header="720" w:footer="720" w:gutter="0"/>
          <w:pgNumType w:fmt="lowerRoman"/>
          <w:cols w:space="720"/>
          <w:docGrid w:linePitch="360"/>
        </w:sectPr>
      </w:pPr>
      <w:r>
        <w:rPr>
          <w:b/>
          <w:sz w:val="28"/>
          <w:szCs w:val="28"/>
        </w:rPr>
        <w:fldChar w:fldCharType="end"/>
      </w:r>
    </w:p>
    <w:p w14:paraId="7E1AF410" w14:textId="77777777" w:rsidR="00321E09" w:rsidRPr="00F8770F" w:rsidRDefault="00321E09" w:rsidP="003F442E">
      <w:pPr>
        <w:jc w:val="center"/>
        <w:rPr>
          <w:b/>
        </w:rPr>
      </w:pPr>
      <w:r w:rsidRPr="00F8770F">
        <w:rPr>
          <w:b/>
        </w:rPr>
        <w:lastRenderedPageBreak/>
        <w:t xml:space="preserve">Figures </w:t>
      </w:r>
    </w:p>
    <w:p w14:paraId="6B11F914" w14:textId="77777777" w:rsidR="00321E09" w:rsidRPr="0035050B" w:rsidRDefault="00321E09" w:rsidP="003F442E">
      <w:pPr>
        <w:jc w:val="center"/>
        <w:rPr>
          <w:b/>
          <w:sz w:val="28"/>
          <w:szCs w:val="28"/>
        </w:rPr>
      </w:pPr>
    </w:p>
    <w:bookmarkStart w:id="0" w:name="_GoBack"/>
    <w:bookmarkEnd w:id="0"/>
    <w:p w14:paraId="2390DEE8" w14:textId="77777777" w:rsidR="001C37C9" w:rsidRDefault="00321E09">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"Figure Caption" \c </w:instrText>
      </w:r>
      <w:r>
        <w:rPr>
          <w:b/>
          <w:sz w:val="28"/>
          <w:szCs w:val="28"/>
        </w:rPr>
        <w:fldChar w:fldCharType="separate"/>
      </w:r>
      <w:hyperlink w:anchor="_Toc415761911" w:history="1">
        <w:r w:rsidR="001C37C9" w:rsidRPr="007F259A">
          <w:rPr>
            <w:rStyle w:val="Hyperlink"/>
            <w:noProof/>
          </w:rPr>
          <w:t xml:space="preserve">Figure ES.1: Average August </w:t>
        </w:r>
        <w:r w:rsidR="001C37C9" w:rsidRPr="007F259A">
          <w:rPr>
            <w:rStyle w:val="Hyperlink"/>
            <w:i/>
            <w:noProof/>
          </w:rPr>
          <w:t>Ex-ante</w:t>
        </w:r>
        <w:r w:rsidR="001C37C9" w:rsidRPr="007F259A">
          <w:rPr>
            <w:rStyle w:val="Hyperlink"/>
            <w:noProof/>
          </w:rPr>
          <w:t xml:space="preserve"> Load Impacts by Scenario, </w:t>
        </w:r>
        <w:r w:rsidR="001C37C9" w:rsidRPr="007F259A">
          <w:rPr>
            <w:rStyle w:val="Hyperlink"/>
            <w:i/>
            <w:noProof/>
          </w:rPr>
          <w:t>PG&amp;E</w:t>
        </w:r>
        <w:r w:rsidR="001C37C9">
          <w:rPr>
            <w:noProof/>
            <w:webHidden/>
          </w:rPr>
          <w:tab/>
        </w:r>
        <w:r w:rsidR="001C37C9">
          <w:rPr>
            <w:noProof/>
            <w:webHidden/>
          </w:rPr>
          <w:fldChar w:fldCharType="begin"/>
        </w:r>
        <w:r w:rsidR="001C37C9">
          <w:rPr>
            <w:noProof/>
            <w:webHidden/>
          </w:rPr>
          <w:instrText xml:space="preserve"> PAGEREF _Toc415761911 \h </w:instrText>
        </w:r>
        <w:r w:rsidR="001C37C9">
          <w:rPr>
            <w:noProof/>
            <w:webHidden/>
          </w:rPr>
        </w:r>
        <w:r w:rsidR="001C37C9">
          <w:rPr>
            <w:noProof/>
            <w:webHidden/>
          </w:rPr>
          <w:fldChar w:fldCharType="separate"/>
        </w:r>
        <w:r w:rsidR="001C37C9">
          <w:rPr>
            <w:noProof/>
            <w:webHidden/>
          </w:rPr>
          <w:t>6</w:t>
        </w:r>
        <w:r w:rsidR="001C37C9">
          <w:rPr>
            <w:noProof/>
            <w:webHidden/>
          </w:rPr>
          <w:fldChar w:fldCharType="end"/>
        </w:r>
      </w:hyperlink>
    </w:p>
    <w:p w14:paraId="07C42926"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2" w:history="1">
        <w:r w:rsidRPr="007F259A">
          <w:rPr>
            <w:rStyle w:val="Hyperlink"/>
            <w:noProof/>
          </w:rPr>
          <w:t xml:space="preserve">Figure ES.2: Average August </w:t>
        </w:r>
        <w:r w:rsidRPr="007F259A">
          <w:rPr>
            <w:rStyle w:val="Hyperlink"/>
            <w:i/>
            <w:noProof/>
          </w:rPr>
          <w:t>Ex-ante</w:t>
        </w:r>
        <w:r w:rsidRPr="007F259A">
          <w:rPr>
            <w:rStyle w:val="Hyperlink"/>
            <w:noProof/>
          </w:rPr>
          <w:t xml:space="preserve"> Load Impacts by Year and Scenario, </w:t>
        </w:r>
        <w:r w:rsidRPr="007F259A">
          <w:rPr>
            <w:rStyle w:val="Hyperlink"/>
            <w:i/>
            <w:noProof/>
          </w:rPr>
          <w:t>SCE</w:t>
        </w:r>
        <w:r>
          <w:rPr>
            <w:noProof/>
            <w:webHidden/>
          </w:rPr>
          <w:tab/>
        </w:r>
        <w:r>
          <w:rPr>
            <w:noProof/>
            <w:webHidden/>
          </w:rPr>
          <w:fldChar w:fldCharType="begin"/>
        </w:r>
        <w:r>
          <w:rPr>
            <w:noProof/>
            <w:webHidden/>
          </w:rPr>
          <w:instrText xml:space="preserve"> PAGEREF _Toc415761912 \h </w:instrText>
        </w:r>
        <w:r>
          <w:rPr>
            <w:noProof/>
            <w:webHidden/>
          </w:rPr>
        </w:r>
        <w:r>
          <w:rPr>
            <w:noProof/>
            <w:webHidden/>
          </w:rPr>
          <w:fldChar w:fldCharType="separate"/>
        </w:r>
        <w:r>
          <w:rPr>
            <w:noProof/>
            <w:webHidden/>
          </w:rPr>
          <w:t>7</w:t>
        </w:r>
        <w:r>
          <w:rPr>
            <w:noProof/>
            <w:webHidden/>
          </w:rPr>
          <w:fldChar w:fldCharType="end"/>
        </w:r>
      </w:hyperlink>
    </w:p>
    <w:p w14:paraId="0B6B597F"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3" w:history="1">
        <w:r w:rsidRPr="007F259A">
          <w:rPr>
            <w:rStyle w:val="Hyperlink"/>
            <w:noProof/>
          </w:rPr>
          <w:t xml:space="preserve">Figure 4.1: DBP Load Impacts for the Average Event Day, </w:t>
        </w:r>
        <w:r w:rsidRPr="007F259A">
          <w:rPr>
            <w:rStyle w:val="Hyperlink"/>
            <w:i/>
            <w:noProof/>
          </w:rPr>
          <w:t>PG&amp;E</w:t>
        </w:r>
        <w:r>
          <w:rPr>
            <w:noProof/>
            <w:webHidden/>
          </w:rPr>
          <w:tab/>
        </w:r>
        <w:r>
          <w:rPr>
            <w:noProof/>
            <w:webHidden/>
          </w:rPr>
          <w:fldChar w:fldCharType="begin"/>
        </w:r>
        <w:r>
          <w:rPr>
            <w:noProof/>
            <w:webHidden/>
          </w:rPr>
          <w:instrText xml:space="preserve"> PAGEREF _Toc415761913 \h </w:instrText>
        </w:r>
        <w:r>
          <w:rPr>
            <w:noProof/>
            <w:webHidden/>
          </w:rPr>
        </w:r>
        <w:r>
          <w:rPr>
            <w:noProof/>
            <w:webHidden/>
          </w:rPr>
          <w:fldChar w:fldCharType="separate"/>
        </w:r>
        <w:r>
          <w:rPr>
            <w:noProof/>
            <w:webHidden/>
          </w:rPr>
          <w:t>23</w:t>
        </w:r>
        <w:r>
          <w:rPr>
            <w:noProof/>
            <w:webHidden/>
          </w:rPr>
          <w:fldChar w:fldCharType="end"/>
        </w:r>
      </w:hyperlink>
    </w:p>
    <w:p w14:paraId="30550394"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4" w:history="1">
        <w:r w:rsidRPr="007F259A">
          <w:rPr>
            <w:rStyle w:val="Hyperlink"/>
            <w:noProof/>
          </w:rPr>
          <w:t xml:space="preserve">Figure 4.2: Hourly Load Impacts by Event, </w:t>
        </w:r>
        <w:r w:rsidRPr="007F259A">
          <w:rPr>
            <w:rStyle w:val="Hyperlink"/>
            <w:i/>
            <w:noProof/>
          </w:rPr>
          <w:t>PG&amp;E DBP</w:t>
        </w:r>
        <w:r>
          <w:rPr>
            <w:noProof/>
            <w:webHidden/>
          </w:rPr>
          <w:tab/>
        </w:r>
        <w:r>
          <w:rPr>
            <w:noProof/>
            <w:webHidden/>
          </w:rPr>
          <w:fldChar w:fldCharType="begin"/>
        </w:r>
        <w:r>
          <w:rPr>
            <w:noProof/>
            <w:webHidden/>
          </w:rPr>
          <w:instrText xml:space="preserve"> PAGEREF _Toc415761914 \h </w:instrText>
        </w:r>
        <w:r>
          <w:rPr>
            <w:noProof/>
            <w:webHidden/>
          </w:rPr>
        </w:r>
        <w:r>
          <w:rPr>
            <w:noProof/>
            <w:webHidden/>
          </w:rPr>
          <w:fldChar w:fldCharType="separate"/>
        </w:r>
        <w:r>
          <w:rPr>
            <w:noProof/>
            <w:webHidden/>
          </w:rPr>
          <w:t>24</w:t>
        </w:r>
        <w:r>
          <w:rPr>
            <w:noProof/>
            <w:webHidden/>
          </w:rPr>
          <w:fldChar w:fldCharType="end"/>
        </w:r>
      </w:hyperlink>
    </w:p>
    <w:p w14:paraId="4876FF36"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5" w:history="1">
        <w:r w:rsidRPr="007F259A">
          <w:rPr>
            <w:rStyle w:val="Hyperlink"/>
            <w:noProof/>
          </w:rPr>
          <w:t xml:space="preserve">Figure 4.3: DBP Load Impacts for the Average Event Day, </w:t>
        </w:r>
        <w:r w:rsidRPr="007F259A">
          <w:rPr>
            <w:rStyle w:val="Hyperlink"/>
            <w:i/>
            <w:noProof/>
          </w:rPr>
          <w:t>SCE</w:t>
        </w:r>
        <w:r>
          <w:rPr>
            <w:noProof/>
            <w:webHidden/>
          </w:rPr>
          <w:tab/>
        </w:r>
        <w:r>
          <w:rPr>
            <w:noProof/>
            <w:webHidden/>
          </w:rPr>
          <w:fldChar w:fldCharType="begin"/>
        </w:r>
        <w:r>
          <w:rPr>
            <w:noProof/>
            <w:webHidden/>
          </w:rPr>
          <w:instrText xml:space="preserve"> PAGEREF _Toc415761915 \h </w:instrText>
        </w:r>
        <w:r>
          <w:rPr>
            <w:noProof/>
            <w:webHidden/>
          </w:rPr>
        </w:r>
        <w:r>
          <w:rPr>
            <w:noProof/>
            <w:webHidden/>
          </w:rPr>
          <w:fldChar w:fldCharType="separate"/>
        </w:r>
        <w:r>
          <w:rPr>
            <w:noProof/>
            <w:webHidden/>
          </w:rPr>
          <w:t>29</w:t>
        </w:r>
        <w:r>
          <w:rPr>
            <w:noProof/>
            <w:webHidden/>
          </w:rPr>
          <w:fldChar w:fldCharType="end"/>
        </w:r>
      </w:hyperlink>
    </w:p>
    <w:p w14:paraId="1829882C"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6" w:history="1">
        <w:r w:rsidRPr="007F259A">
          <w:rPr>
            <w:rStyle w:val="Hyperlink"/>
            <w:noProof/>
          </w:rPr>
          <w:t xml:space="preserve">Figure 4.4: Hourly Load Impacts by Event, </w:t>
        </w:r>
        <w:r w:rsidRPr="007F259A">
          <w:rPr>
            <w:rStyle w:val="Hyperlink"/>
            <w:i/>
            <w:noProof/>
          </w:rPr>
          <w:t>SCE DBP</w:t>
        </w:r>
        <w:r>
          <w:rPr>
            <w:noProof/>
            <w:webHidden/>
          </w:rPr>
          <w:tab/>
        </w:r>
        <w:r>
          <w:rPr>
            <w:noProof/>
            <w:webHidden/>
          </w:rPr>
          <w:fldChar w:fldCharType="begin"/>
        </w:r>
        <w:r>
          <w:rPr>
            <w:noProof/>
            <w:webHidden/>
          </w:rPr>
          <w:instrText xml:space="preserve"> PAGEREF _Toc415761916 \h </w:instrText>
        </w:r>
        <w:r>
          <w:rPr>
            <w:noProof/>
            <w:webHidden/>
          </w:rPr>
        </w:r>
        <w:r>
          <w:rPr>
            <w:noProof/>
            <w:webHidden/>
          </w:rPr>
          <w:fldChar w:fldCharType="separate"/>
        </w:r>
        <w:r>
          <w:rPr>
            <w:noProof/>
            <w:webHidden/>
          </w:rPr>
          <w:t>30</w:t>
        </w:r>
        <w:r>
          <w:rPr>
            <w:noProof/>
            <w:webHidden/>
          </w:rPr>
          <w:fldChar w:fldCharType="end"/>
        </w:r>
      </w:hyperlink>
    </w:p>
    <w:p w14:paraId="0C59B36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7" w:history="1">
        <w:r w:rsidRPr="007F259A">
          <w:rPr>
            <w:rStyle w:val="Hyperlink"/>
            <w:noProof/>
          </w:rPr>
          <w:t xml:space="preserve">Figure 4.5: DBP September 16, 2014 Load Impacts, </w:t>
        </w:r>
        <w:r w:rsidRPr="007F259A">
          <w:rPr>
            <w:rStyle w:val="Hyperlink"/>
            <w:i/>
            <w:noProof/>
          </w:rPr>
          <w:t>SDG&amp;E DO</w:t>
        </w:r>
        <w:r>
          <w:rPr>
            <w:noProof/>
            <w:webHidden/>
          </w:rPr>
          <w:tab/>
        </w:r>
        <w:r>
          <w:rPr>
            <w:noProof/>
            <w:webHidden/>
          </w:rPr>
          <w:fldChar w:fldCharType="begin"/>
        </w:r>
        <w:r>
          <w:rPr>
            <w:noProof/>
            <w:webHidden/>
          </w:rPr>
          <w:instrText xml:space="preserve"> PAGEREF _Toc415761917 \h </w:instrText>
        </w:r>
        <w:r>
          <w:rPr>
            <w:noProof/>
            <w:webHidden/>
          </w:rPr>
        </w:r>
        <w:r>
          <w:rPr>
            <w:noProof/>
            <w:webHidden/>
          </w:rPr>
          <w:fldChar w:fldCharType="separate"/>
        </w:r>
        <w:r>
          <w:rPr>
            <w:noProof/>
            <w:webHidden/>
          </w:rPr>
          <w:t>31</w:t>
        </w:r>
        <w:r>
          <w:rPr>
            <w:noProof/>
            <w:webHidden/>
          </w:rPr>
          <w:fldChar w:fldCharType="end"/>
        </w:r>
      </w:hyperlink>
    </w:p>
    <w:p w14:paraId="6843A7A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8" w:history="1">
        <w:r w:rsidRPr="007F259A">
          <w:rPr>
            <w:rStyle w:val="Hyperlink"/>
            <w:noProof/>
          </w:rPr>
          <w:t xml:space="preserve">Figure 4.6: DBP February 7, 2014 Load Impacts, </w:t>
        </w:r>
        <w:r w:rsidRPr="007F259A">
          <w:rPr>
            <w:rStyle w:val="Hyperlink"/>
            <w:i/>
            <w:noProof/>
          </w:rPr>
          <w:t>SDG&amp;E DA</w:t>
        </w:r>
        <w:r>
          <w:rPr>
            <w:noProof/>
            <w:webHidden/>
          </w:rPr>
          <w:tab/>
        </w:r>
        <w:r>
          <w:rPr>
            <w:noProof/>
            <w:webHidden/>
          </w:rPr>
          <w:fldChar w:fldCharType="begin"/>
        </w:r>
        <w:r>
          <w:rPr>
            <w:noProof/>
            <w:webHidden/>
          </w:rPr>
          <w:instrText xml:space="preserve"> PAGEREF _Toc415761918 \h </w:instrText>
        </w:r>
        <w:r>
          <w:rPr>
            <w:noProof/>
            <w:webHidden/>
          </w:rPr>
        </w:r>
        <w:r>
          <w:rPr>
            <w:noProof/>
            <w:webHidden/>
          </w:rPr>
          <w:fldChar w:fldCharType="separate"/>
        </w:r>
        <w:r>
          <w:rPr>
            <w:noProof/>
            <w:webHidden/>
          </w:rPr>
          <w:t>31</w:t>
        </w:r>
        <w:r>
          <w:rPr>
            <w:noProof/>
            <w:webHidden/>
          </w:rPr>
          <w:fldChar w:fldCharType="end"/>
        </w:r>
      </w:hyperlink>
    </w:p>
    <w:p w14:paraId="068428A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19" w:history="1">
        <w:r w:rsidRPr="007F259A">
          <w:rPr>
            <w:rStyle w:val="Hyperlink"/>
            <w:noProof/>
          </w:rPr>
          <w:t>Figure 5.1: SCE Forecast DBP Enrollments by Month</w:t>
        </w:r>
        <w:r>
          <w:rPr>
            <w:noProof/>
            <w:webHidden/>
          </w:rPr>
          <w:tab/>
        </w:r>
        <w:r>
          <w:rPr>
            <w:noProof/>
            <w:webHidden/>
          </w:rPr>
          <w:fldChar w:fldCharType="begin"/>
        </w:r>
        <w:r>
          <w:rPr>
            <w:noProof/>
            <w:webHidden/>
          </w:rPr>
          <w:instrText xml:space="preserve"> PAGEREF _Toc415761919 \h </w:instrText>
        </w:r>
        <w:r>
          <w:rPr>
            <w:noProof/>
            <w:webHidden/>
          </w:rPr>
        </w:r>
        <w:r>
          <w:rPr>
            <w:noProof/>
            <w:webHidden/>
          </w:rPr>
          <w:fldChar w:fldCharType="separate"/>
        </w:r>
        <w:r>
          <w:rPr>
            <w:noProof/>
            <w:webHidden/>
          </w:rPr>
          <w:t>39</w:t>
        </w:r>
        <w:r>
          <w:rPr>
            <w:noProof/>
            <w:webHidden/>
          </w:rPr>
          <w:fldChar w:fldCharType="end"/>
        </w:r>
      </w:hyperlink>
    </w:p>
    <w:p w14:paraId="17179CB4"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0" w:history="1">
        <w:r w:rsidRPr="007F259A">
          <w:rPr>
            <w:rStyle w:val="Hyperlink"/>
            <w:noProof/>
          </w:rPr>
          <w:t>Figure 5.2: PG&amp;E Hourly Event Day Load Impacts for the Typical Event Day in a Utility-specific 1-in-2 Weather Year for August 2015, Program Level</w:t>
        </w:r>
        <w:r>
          <w:rPr>
            <w:noProof/>
            <w:webHidden/>
          </w:rPr>
          <w:tab/>
        </w:r>
        <w:r>
          <w:rPr>
            <w:noProof/>
            <w:webHidden/>
          </w:rPr>
          <w:fldChar w:fldCharType="begin"/>
        </w:r>
        <w:r>
          <w:rPr>
            <w:noProof/>
            <w:webHidden/>
          </w:rPr>
          <w:instrText xml:space="preserve"> PAGEREF _Toc415761920 \h </w:instrText>
        </w:r>
        <w:r>
          <w:rPr>
            <w:noProof/>
            <w:webHidden/>
          </w:rPr>
        </w:r>
        <w:r>
          <w:rPr>
            <w:noProof/>
            <w:webHidden/>
          </w:rPr>
          <w:fldChar w:fldCharType="separate"/>
        </w:r>
        <w:r>
          <w:rPr>
            <w:noProof/>
            <w:webHidden/>
          </w:rPr>
          <w:t>40</w:t>
        </w:r>
        <w:r>
          <w:rPr>
            <w:noProof/>
            <w:webHidden/>
          </w:rPr>
          <w:fldChar w:fldCharType="end"/>
        </w:r>
      </w:hyperlink>
    </w:p>
    <w:p w14:paraId="7FE374A9"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1" w:history="1">
        <w:r w:rsidRPr="007F259A">
          <w:rPr>
            <w:rStyle w:val="Hyperlink"/>
            <w:noProof/>
          </w:rPr>
          <w:t>Figure 5.3: PG&amp;E Hourly Event Day Load Impacts for the Typical Event Day in a Utility-specific 1-in-2 Weather Year for August 2015, Portfolio Level</w:t>
        </w:r>
        <w:r>
          <w:rPr>
            <w:noProof/>
            <w:webHidden/>
          </w:rPr>
          <w:tab/>
        </w:r>
        <w:r>
          <w:rPr>
            <w:noProof/>
            <w:webHidden/>
          </w:rPr>
          <w:fldChar w:fldCharType="begin"/>
        </w:r>
        <w:r>
          <w:rPr>
            <w:noProof/>
            <w:webHidden/>
          </w:rPr>
          <w:instrText xml:space="preserve"> PAGEREF _Toc415761921 \h </w:instrText>
        </w:r>
        <w:r>
          <w:rPr>
            <w:noProof/>
            <w:webHidden/>
          </w:rPr>
        </w:r>
        <w:r>
          <w:rPr>
            <w:noProof/>
            <w:webHidden/>
          </w:rPr>
          <w:fldChar w:fldCharType="separate"/>
        </w:r>
        <w:r>
          <w:rPr>
            <w:noProof/>
            <w:webHidden/>
          </w:rPr>
          <w:t>41</w:t>
        </w:r>
        <w:r>
          <w:rPr>
            <w:noProof/>
            <w:webHidden/>
          </w:rPr>
          <w:fldChar w:fldCharType="end"/>
        </w:r>
      </w:hyperlink>
    </w:p>
    <w:p w14:paraId="53FF7E57"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2" w:history="1">
        <w:r w:rsidRPr="007F259A">
          <w:rPr>
            <w:rStyle w:val="Hyperlink"/>
            <w:noProof/>
          </w:rPr>
          <w:t>Figure 5.4: Share of PG&amp;E Load Impacts by LCA for the August 2015 Typical Event Day in a Utility-specific 1</w:t>
        </w:r>
        <w:r w:rsidRPr="007F259A">
          <w:rPr>
            <w:rStyle w:val="Hyperlink"/>
            <w:noProof/>
          </w:rPr>
          <w:noBreakHyphen/>
          <w:t>in</w:t>
        </w:r>
        <w:r w:rsidRPr="007F259A">
          <w:rPr>
            <w:rStyle w:val="Hyperlink"/>
            <w:noProof/>
          </w:rPr>
          <w:noBreakHyphen/>
          <w:t>2 Weather Year</w:t>
        </w:r>
        <w:r>
          <w:rPr>
            <w:noProof/>
            <w:webHidden/>
          </w:rPr>
          <w:tab/>
        </w:r>
        <w:r>
          <w:rPr>
            <w:noProof/>
            <w:webHidden/>
          </w:rPr>
          <w:fldChar w:fldCharType="begin"/>
        </w:r>
        <w:r>
          <w:rPr>
            <w:noProof/>
            <w:webHidden/>
          </w:rPr>
          <w:instrText xml:space="preserve"> PAGEREF _Toc415761922 \h </w:instrText>
        </w:r>
        <w:r>
          <w:rPr>
            <w:noProof/>
            <w:webHidden/>
          </w:rPr>
        </w:r>
        <w:r>
          <w:rPr>
            <w:noProof/>
            <w:webHidden/>
          </w:rPr>
          <w:fldChar w:fldCharType="separate"/>
        </w:r>
        <w:r>
          <w:rPr>
            <w:noProof/>
            <w:webHidden/>
          </w:rPr>
          <w:t>42</w:t>
        </w:r>
        <w:r>
          <w:rPr>
            <w:noProof/>
            <w:webHidden/>
          </w:rPr>
          <w:fldChar w:fldCharType="end"/>
        </w:r>
      </w:hyperlink>
    </w:p>
    <w:p w14:paraId="0B9EAEB1"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3" w:history="1">
        <w:r w:rsidRPr="007F259A">
          <w:rPr>
            <w:rStyle w:val="Hyperlink"/>
            <w:noProof/>
          </w:rPr>
          <w:t xml:space="preserve">Figure 5.5:  Average Hourly </w:t>
        </w:r>
        <w:r w:rsidRPr="007F259A">
          <w:rPr>
            <w:rStyle w:val="Hyperlink"/>
            <w:i/>
            <w:noProof/>
          </w:rPr>
          <w:t>Ex-ante</w:t>
        </w:r>
        <w:r w:rsidRPr="007F259A">
          <w:rPr>
            <w:rStyle w:val="Hyperlink"/>
            <w:noProof/>
          </w:rPr>
          <w:t xml:space="preserve"> Load Impacts by Scenario for August, </w:t>
        </w:r>
        <w:r w:rsidRPr="007F259A">
          <w:rPr>
            <w:rStyle w:val="Hyperlink"/>
            <w:i/>
            <w:noProof/>
          </w:rPr>
          <w:t>PG&amp;E</w:t>
        </w:r>
        <w:r>
          <w:rPr>
            <w:noProof/>
            <w:webHidden/>
          </w:rPr>
          <w:tab/>
        </w:r>
        <w:r>
          <w:rPr>
            <w:noProof/>
            <w:webHidden/>
          </w:rPr>
          <w:fldChar w:fldCharType="begin"/>
        </w:r>
        <w:r>
          <w:rPr>
            <w:noProof/>
            <w:webHidden/>
          </w:rPr>
          <w:instrText xml:space="preserve"> PAGEREF _Toc415761923 \h </w:instrText>
        </w:r>
        <w:r>
          <w:rPr>
            <w:noProof/>
            <w:webHidden/>
          </w:rPr>
        </w:r>
        <w:r>
          <w:rPr>
            <w:noProof/>
            <w:webHidden/>
          </w:rPr>
          <w:fldChar w:fldCharType="separate"/>
        </w:r>
        <w:r>
          <w:rPr>
            <w:noProof/>
            <w:webHidden/>
          </w:rPr>
          <w:t>43</w:t>
        </w:r>
        <w:r>
          <w:rPr>
            <w:noProof/>
            <w:webHidden/>
          </w:rPr>
          <w:fldChar w:fldCharType="end"/>
        </w:r>
      </w:hyperlink>
    </w:p>
    <w:p w14:paraId="61A08308"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4" w:history="1">
        <w:r w:rsidRPr="007F259A">
          <w:rPr>
            <w:rStyle w:val="Hyperlink"/>
            <w:noProof/>
          </w:rPr>
          <w:t>Figure 5.6: SCE Hourly Event Day Load Impacts for the Typical Event Day in a 1</w:t>
        </w:r>
        <w:r w:rsidRPr="007F259A">
          <w:rPr>
            <w:rStyle w:val="Hyperlink"/>
            <w:noProof/>
          </w:rPr>
          <w:noBreakHyphen/>
          <w:t>in-2 Weather Year for August 2015, Program Level</w:t>
        </w:r>
        <w:r>
          <w:rPr>
            <w:noProof/>
            <w:webHidden/>
          </w:rPr>
          <w:tab/>
        </w:r>
        <w:r>
          <w:rPr>
            <w:noProof/>
            <w:webHidden/>
          </w:rPr>
          <w:fldChar w:fldCharType="begin"/>
        </w:r>
        <w:r>
          <w:rPr>
            <w:noProof/>
            <w:webHidden/>
          </w:rPr>
          <w:instrText xml:space="preserve"> PAGEREF _Toc415761924 \h </w:instrText>
        </w:r>
        <w:r>
          <w:rPr>
            <w:noProof/>
            <w:webHidden/>
          </w:rPr>
        </w:r>
        <w:r>
          <w:rPr>
            <w:noProof/>
            <w:webHidden/>
          </w:rPr>
          <w:fldChar w:fldCharType="separate"/>
        </w:r>
        <w:r>
          <w:rPr>
            <w:noProof/>
            <w:webHidden/>
          </w:rPr>
          <w:t>44</w:t>
        </w:r>
        <w:r>
          <w:rPr>
            <w:noProof/>
            <w:webHidden/>
          </w:rPr>
          <w:fldChar w:fldCharType="end"/>
        </w:r>
      </w:hyperlink>
    </w:p>
    <w:p w14:paraId="65CFB5BA"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5" w:history="1">
        <w:r w:rsidRPr="007F259A">
          <w:rPr>
            <w:rStyle w:val="Hyperlink"/>
            <w:noProof/>
          </w:rPr>
          <w:t>Figure 5.7: SCE Hourly Event Day Load Impacts for the Typical Event Day in a 1</w:t>
        </w:r>
        <w:r w:rsidRPr="007F259A">
          <w:rPr>
            <w:rStyle w:val="Hyperlink"/>
            <w:noProof/>
          </w:rPr>
          <w:noBreakHyphen/>
          <w:t>in-2 Weather Year for August 2015, Portfolio Level</w:t>
        </w:r>
        <w:r>
          <w:rPr>
            <w:noProof/>
            <w:webHidden/>
          </w:rPr>
          <w:tab/>
        </w:r>
        <w:r>
          <w:rPr>
            <w:noProof/>
            <w:webHidden/>
          </w:rPr>
          <w:fldChar w:fldCharType="begin"/>
        </w:r>
        <w:r>
          <w:rPr>
            <w:noProof/>
            <w:webHidden/>
          </w:rPr>
          <w:instrText xml:space="preserve"> PAGEREF _Toc415761925 \h </w:instrText>
        </w:r>
        <w:r>
          <w:rPr>
            <w:noProof/>
            <w:webHidden/>
          </w:rPr>
        </w:r>
        <w:r>
          <w:rPr>
            <w:noProof/>
            <w:webHidden/>
          </w:rPr>
          <w:fldChar w:fldCharType="separate"/>
        </w:r>
        <w:r>
          <w:rPr>
            <w:noProof/>
            <w:webHidden/>
          </w:rPr>
          <w:t>45</w:t>
        </w:r>
        <w:r>
          <w:rPr>
            <w:noProof/>
            <w:webHidden/>
          </w:rPr>
          <w:fldChar w:fldCharType="end"/>
        </w:r>
      </w:hyperlink>
    </w:p>
    <w:p w14:paraId="6C7B8905"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6" w:history="1">
        <w:r w:rsidRPr="007F259A">
          <w:rPr>
            <w:rStyle w:val="Hyperlink"/>
            <w:noProof/>
          </w:rPr>
          <w:t>Figure 5.8: Share of SCE DBP Load Impacts by Local Capacity Area</w:t>
        </w:r>
        <w:r>
          <w:rPr>
            <w:noProof/>
            <w:webHidden/>
          </w:rPr>
          <w:tab/>
        </w:r>
        <w:r>
          <w:rPr>
            <w:noProof/>
            <w:webHidden/>
          </w:rPr>
          <w:fldChar w:fldCharType="begin"/>
        </w:r>
        <w:r>
          <w:rPr>
            <w:noProof/>
            <w:webHidden/>
          </w:rPr>
          <w:instrText xml:space="preserve"> PAGEREF _Toc415761926 \h </w:instrText>
        </w:r>
        <w:r>
          <w:rPr>
            <w:noProof/>
            <w:webHidden/>
          </w:rPr>
        </w:r>
        <w:r>
          <w:rPr>
            <w:noProof/>
            <w:webHidden/>
          </w:rPr>
          <w:fldChar w:fldCharType="separate"/>
        </w:r>
        <w:r>
          <w:rPr>
            <w:noProof/>
            <w:webHidden/>
          </w:rPr>
          <w:t>46</w:t>
        </w:r>
        <w:r>
          <w:rPr>
            <w:noProof/>
            <w:webHidden/>
          </w:rPr>
          <w:fldChar w:fldCharType="end"/>
        </w:r>
      </w:hyperlink>
    </w:p>
    <w:p w14:paraId="5A446699"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7" w:history="1">
        <w:r w:rsidRPr="007F259A">
          <w:rPr>
            <w:rStyle w:val="Hyperlink"/>
            <w:noProof/>
          </w:rPr>
          <w:t xml:space="preserve">Figure 5.9: Average Hourly </w:t>
        </w:r>
        <w:r w:rsidRPr="007F259A">
          <w:rPr>
            <w:rStyle w:val="Hyperlink"/>
            <w:i/>
            <w:noProof/>
          </w:rPr>
          <w:t>Ex-ante</w:t>
        </w:r>
        <w:r w:rsidRPr="007F259A">
          <w:rPr>
            <w:rStyle w:val="Hyperlink"/>
            <w:noProof/>
          </w:rPr>
          <w:t xml:space="preserve"> Load Impacts by Scenario and Year, </w:t>
        </w:r>
        <w:r w:rsidRPr="007F259A">
          <w:rPr>
            <w:rStyle w:val="Hyperlink"/>
            <w:i/>
            <w:noProof/>
          </w:rPr>
          <w:t>SCE</w:t>
        </w:r>
        <w:r>
          <w:rPr>
            <w:noProof/>
            <w:webHidden/>
          </w:rPr>
          <w:tab/>
        </w:r>
        <w:r>
          <w:rPr>
            <w:noProof/>
            <w:webHidden/>
          </w:rPr>
          <w:fldChar w:fldCharType="begin"/>
        </w:r>
        <w:r>
          <w:rPr>
            <w:noProof/>
            <w:webHidden/>
          </w:rPr>
          <w:instrText xml:space="preserve"> PAGEREF _Toc415761927 \h </w:instrText>
        </w:r>
        <w:r>
          <w:rPr>
            <w:noProof/>
            <w:webHidden/>
          </w:rPr>
        </w:r>
        <w:r>
          <w:rPr>
            <w:noProof/>
            <w:webHidden/>
          </w:rPr>
          <w:fldChar w:fldCharType="separate"/>
        </w:r>
        <w:r>
          <w:rPr>
            <w:noProof/>
            <w:webHidden/>
          </w:rPr>
          <w:t>47</w:t>
        </w:r>
        <w:r>
          <w:rPr>
            <w:noProof/>
            <w:webHidden/>
          </w:rPr>
          <w:fldChar w:fldCharType="end"/>
        </w:r>
      </w:hyperlink>
    </w:p>
    <w:p w14:paraId="0D20D71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8" w:history="1">
        <w:r w:rsidRPr="007F259A">
          <w:rPr>
            <w:rStyle w:val="Hyperlink"/>
            <w:noProof/>
          </w:rPr>
          <w:t>Figure 5.10: SDG&amp;E DBP-DA Hourly Event Day Load Impacts for the Typical Event Day in a Utility-Specific 1</w:t>
        </w:r>
        <w:r w:rsidRPr="007F259A">
          <w:rPr>
            <w:rStyle w:val="Hyperlink"/>
            <w:noProof/>
          </w:rPr>
          <w:noBreakHyphen/>
          <w:t>in-2 Weather Year for August</w:t>
        </w:r>
        <w:r>
          <w:rPr>
            <w:noProof/>
            <w:webHidden/>
          </w:rPr>
          <w:tab/>
        </w:r>
        <w:r>
          <w:rPr>
            <w:noProof/>
            <w:webHidden/>
          </w:rPr>
          <w:fldChar w:fldCharType="begin"/>
        </w:r>
        <w:r>
          <w:rPr>
            <w:noProof/>
            <w:webHidden/>
          </w:rPr>
          <w:instrText xml:space="preserve"> PAGEREF _Toc415761928 \h </w:instrText>
        </w:r>
        <w:r>
          <w:rPr>
            <w:noProof/>
            <w:webHidden/>
          </w:rPr>
        </w:r>
        <w:r>
          <w:rPr>
            <w:noProof/>
            <w:webHidden/>
          </w:rPr>
          <w:fldChar w:fldCharType="separate"/>
        </w:r>
        <w:r>
          <w:rPr>
            <w:noProof/>
            <w:webHidden/>
          </w:rPr>
          <w:t>48</w:t>
        </w:r>
        <w:r>
          <w:rPr>
            <w:noProof/>
            <w:webHidden/>
          </w:rPr>
          <w:fldChar w:fldCharType="end"/>
        </w:r>
      </w:hyperlink>
    </w:p>
    <w:p w14:paraId="3FE79F10"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29" w:history="1">
        <w:r w:rsidRPr="007F259A">
          <w:rPr>
            <w:rStyle w:val="Hyperlink"/>
            <w:noProof/>
          </w:rPr>
          <w:t>Figure 5.11: SDG&amp;E DBP-DO Hourly Event Day Load Impacts for the Typical Event Day in a Utility-Specific 1</w:t>
        </w:r>
        <w:r w:rsidRPr="007F259A">
          <w:rPr>
            <w:rStyle w:val="Hyperlink"/>
            <w:noProof/>
          </w:rPr>
          <w:noBreakHyphen/>
          <w:t>in-2 Weather Year for August</w:t>
        </w:r>
        <w:r>
          <w:rPr>
            <w:noProof/>
            <w:webHidden/>
          </w:rPr>
          <w:tab/>
        </w:r>
        <w:r>
          <w:rPr>
            <w:noProof/>
            <w:webHidden/>
          </w:rPr>
          <w:fldChar w:fldCharType="begin"/>
        </w:r>
        <w:r>
          <w:rPr>
            <w:noProof/>
            <w:webHidden/>
          </w:rPr>
          <w:instrText xml:space="preserve"> PAGEREF _Toc415761929 \h </w:instrText>
        </w:r>
        <w:r>
          <w:rPr>
            <w:noProof/>
            <w:webHidden/>
          </w:rPr>
        </w:r>
        <w:r>
          <w:rPr>
            <w:noProof/>
            <w:webHidden/>
          </w:rPr>
          <w:fldChar w:fldCharType="separate"/>
        </w:r>
        <w:r>
          <w:rPr>
            <w:noProof/>
            <w:webHidden/>
          </w:rPr>
          <w:t>48</w:t>
        </w:r>
        <w:r>
          <w:rPr>
            <w:noProof/>
            <w:webHidden/>
          </w:rPr>
          <w:fldChar w:fldCharType="end"/>
        </w:r>
      </w:hyperlink>
    </w:p>
    <w:p w14:paraId="33CDF444"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0" w:history="1">
        <w:r w:rsidRPr="007F259A">
          <w:rPr>
            <w:rStyle w:val="Hyperlink"/>
            <w:noProof/>
          </w:rPr>
          <w:t>Figure 5.12: SDG&amp;E DBP-DA Load Impacts by Month and Weather Year</w:t>
        </w:r>
        <w:r>
          <w:rPr>
            <w:noProof/>
            <w:webHidden/>
          </w:rPr>
          <w:tab/>
        </w:r>
        <w:r>
          <w:rPr>
            <w:noProof/>
            <w:webHidden/>
          </w:rPr>
          <w:fldChar w:fldCharType="begin"/>
        </w:r>
        <w:r>
          <w:rPr>
            <w:noProof/>
            <w:webHidden/>
          </w:rPr>
          <w:instrText xml:space="preserve"> PAGEREF _Toc415761930 \h </w:instrText>
        </w:r>
        <w:r>
          <w:rPr>
            <w:noProof/>
            <w:webHidden/>
          </w:rPr>
        </w:r>
        <w:r>
          <w:rPr>
            <w:noProof/>
            <w:webHidden/>
          </w:rPr>
          <w:fldChar w:fldCharType="separate"/>
        </w:r>
        <w:r>
          <w:rPr>
            <w:noProof/>
            <w:webHidden/>
          </w:rPr>
          <w:t>49</w:t>
        </w:r>
        <w:r>
          <w:rPr>
            <w:noProof/>
            <w:webHidden/>
          </w:rPr>
          <w:fldChar w:fldCharType="end"/>
        </w:r>
      </w:hyperlink>
    </w:p>
    <w:p w14:paraId="7F20AB2B"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1" w:history="1">
        <w:r w:rsidRPr="007F259A">
          <w:rPr>
            <w:rStyle w:val="Hyperlink"/>
            <w:noProof/>
          </w:rPr>
          <w:t>Figure 5.13: SDG&amp;E DBP-DO Load Impacts by Month and Weather Year</w:t>
        </w:r>
        <w:r>
          <w:rPr>
            <w:noProof/>
            <w:webHidden/>
          </w:rPr>
          <w:tab/>
        </w:r>
        <w:r>
          <w:rPr>
            <w:noProof/>
            <w:webHidden/>
          </w:rPr>
          <w:fldChar w:fldCharType="begin"/>
        </w:r>
        <w:r>
          <w:rPr>
            <w:noProof/>
            <w:webHidden/>
          </w:rPr>
          <w:instrText xml:space="preserve"> PAGEREF _Toc415761931 \h </w:instrText>
        </w:r>
        <w:r>
          <w:rPr>
            <w:noProof/>
            <w:webHidden/>
          </w:rPr>
        </w:r>
        <w:r>
          <w:rPr>
            <w:noProof/>
            <w:webHidden/>
          </w:rPr>
          <w:fldChar w:fldCharType="separate"/>
        </w:r>
        <w:r>
          <w:rPr>
            <w:noProof/>
            <w:webHidden/>
          </w:rPr>
          <w:t>49</w:t>
        </w:r>
        <w:r>
          <w:rPr>
            <w:noProof/>
            <w:webHidden/>
          </w:rPr>
          <w:fldChar w:fldCharType="end"/>
        </w:r>
      </w:hyperlink>
    </w:p>
    <w:p w14:paraId="235381FD"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2" w:history="1">
        <w:r w:rsidRPr="007F259A">
          <w:rPr>
            <w:rStyle w:val="Hyperlink"/>
            <w:noProof/>
          </w:rPr>
          <w:t xml:space="preserve">Figure A.1: Average Event-Hour Load Impacts by Specification, </w:t>
        </w:r>
        <w:r w:rsidRPr="007F259A">
          <w:rPr>
            <w:rStyle w:val="Hyperlink"/>
            <w:i/>
            <w:noProof/>
          </w:rPr>
          <w:t>PG&amp;E Models</w:t>
        </w:r>
        <w:r>
          <w:rPr>
            <w:noProof/>
            <w:webHidden/>
          </w:rPr>
          <w:tab/>
        </w:r>
        <w:r>
          <w:rPr>
            <w:noProof/>
            <w:webHidden/>
          </w:rPr>
          <w:fldChar w:fldCharType="begin"/>
        </w:r>
        <w:r>
          <w:rPr>
            <w:noProof/>
            <w:webHidden/>
          </w:rPr>
          <w:instrText xml:space="preserve"> PAGEREF _Toc415761932 \h </w:instrText>
        </w:r>
        <w:r>
          <w:rPr>
            <w:noProof/>
            <w:webHidden/>
          </w:rPr>
        </w:r>
        <w:r>
          <w:rPr>
            <w:noProof/>
            <w:webHidden/>
          </w:rPr>
          <w:fldChar w:fldCharType="separate"/>
        </w:r>
        <w:r>
          <w:rPr>
            <w:noProof/>
            <w:webHidden/>
          </w:rPr>
          <w:t>64</w:t>
        </w:r>
        <w:r>
          <w:rPr>
            <w:noProof/>
            <w:webHidden/>
          </w:rPr>
          <w:fldChar w:fldCharType="end"/>
        </w:r>
      </w:hyperlink>
    </w:p>
    <w:p w14:paraId="55AE9A01"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3" w:history="1">
        <w:r w:rsidRPr="007F259A">
          <w:rPr>
            <w:rStyle w:val="Hyperlink"/>
            <w:noProof/>
          </w:rPr>
          <w:t xml:space="preserve">Figure A.2: Average Event-Hour Load Impacts by Specification, </w:t>
        </w:r>
        <w:r w:rsidRPr="007F259A">
          <w:rPr>
            <w:rStyle w:val="Hyperlink"/>
            <w:i/>
            <w:noProof/>
          </w:rPr>
          <w:t>SCE Models</w:t>
        </w:r>
        <w:r>
          <w:rPr>
            <w:noProof/>
            <w:webHidden/>
          </w:rPr>
          <w:tab/>
        </w:r>
        <w:r>
          <w:rPr>
            <w:noProof/>
            <w:webHidden/>
          </w:rPr>
          <w:fldChar w:fldCharType="begin"/>
        </w:r>
        <w:r>
          <w:rPr>
            <w:noProof/>
            <w:webHidden/>
          </w:rPr>
          <w:instrText xml:space="preserve"> PAGEREF _Toc415761933 \h </w:instrText>
        </w:r>
        <w:r>
          <w:rPr>
            <w:noProof/>
            <w:webHidden/>
          </w:rPr>
        </w:r>
        <w:r>
          <w:rPr>
            <w:noProof/>
            <w:webHidden/>
          </w:rPr>
          <w:fldChar w:fldCharType="separate"/>
        </w:r>
        <w:r>
          <w:rPr>
            <w:noProof/>
            <w:webHidden/>
          </w:rPr>
          <w:t>65</w:t>
        </w:r>
        <w:r>
          <w:rPr>
            <w:noProof/>
            <w:webHidden/>
          </w:rPr>
          <w:fldChar w:fldCharType="end"/>
        </w:r>
      </w:hyperlink>
    </w:p>
    <w:p w14:paraId="26570310"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4" w:history="1">
        <w:r w:rsidRPr="007F259A">
          <w:rPr>
            <w:rStyle w:val="Hyperlink"/>
            <w:noProof/>
          </w:rPr>
          <w:t xml:space="preserve">Figure A.3: Average Event-Hour Load Impacts by Specification, </w:t>
        </w:r>
        <w:r w:rsidRPr="007F259A">
          <w:rPr>
            <w:rStyle w:val="Hyperlink"/>
            <w:i/>
            <w:noProof/>
          </w:rPr>
          <w:t>SDG&amp;E DA Models</w:t>
        </w:r>
        <w:r>
          <w:rPr>
            <w:noProof/>
            <w:webHidden/>
          </w:rPr>
          <w:tab/>
        </w:r>
        <w:r>
          <w:rPr>
            <w:noProof/>
            <w:webHidden/>
          </w:rPr>
          <w:fldChar w:fldCharType="begin"/>
        </w:r>
        <w:r>
          <w:rPr>
            <w:noProof/>
            <w:webHidden/>
          </w:rPr>
          <w:instrText xml:space="preserve"> PAGEREF _Toc415761934 \h </w:instrText>
        </w:r>
        <w:r>
          <w:rPr>
            <w:noProof/>
            <w:webHidden/>
          </w:rPr>
        </w:r>
        <w:r>
          <w:rPr>
            <w:noProof/>
            <w:webHidden/>
          </w:rPr>
          <w:fldChar w:fldCharType="separate"/>
        </w:r>
        <w:r>
          <w:rPr>
            <w:noProof/>
            <w:webHidden/>
          </w:rPr>
          <w:t>65</w:t>
        </w:r>
        <w:r>
          <w:rPr>
            <w:noProof/>
            <w:webHidden/>
          </w:rPr>
          <w:fldChar w:fldCharType="end"/>
        </w:r>
      </w:hyperlink>
    </w:p>
    <w:p w14:paraId="731D4976"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5" w:history="1">
        <w:r w:rsidRPr="007F259A">
          <w:rPr>
            <w:rStyle w:val="Hyperlink"/>
            <w:noProof/>
          </w:rPr>
          <w:t xml:space="preserve">Figure A.4: Average Event-Hour Load Impacts by Specification, </w:t>
        </w:r>
        <w:r w:rsidRPr="007F259A">
          <w:rPr>
            <w:rStyle w:val="Hyperlink"/>
            <w:i/>
            <w:noProof/>
          </w:rPr>
          <w:t>SDG&amp;E DO Models</w:t>
        </w:r>
        <w:r>
          <w:rPr>
            <w:noProof/>
            <w:webHidden/>
          </w:rPr>
          <w:tab/>
        </w:r>
        <w:r>
          <w:rPr>
            <w:noProof/>
            <w:webHidden/>
          </w:rPr>
          <w:fldChar w:fldCharType="begin"/>
        </w:r>
        <w:r>
          <w:rPr>
            <w:noProof/>
            <w:webHidden/>
          </w:rPr>
          <w:instrText xml:space="preserve"> PAGEREF _Toc415761935 \h </w:instrText>
        </w:r>
        <w:r>
          <w:rPr>
            <w:noProof/>
            <w:webHidden/>
          </w:rPr>
        </w:r>
        <w:r>
          <w:rPr>
            <w:noProof/>
            <w:webHidden/>
          </w:rPr>
          <w:fldChar w:fldCharType="separate"/>
        </w:r>
        <w:r>
          <w:rPr>
            <w:noProof/>
            <w:webHidden/>
          </w:rPr>
          <w:t>65</w:t>
        </w:r>
        <w:r>
          <w:rPr>
            <w:noProof/>
            <w:webHidden/>
          </w:rPr>
          <w:fldChar w:fldCharType="end"/>
        </w:r>
      </w:hyperlink>
    </w:p>
    <w:p w14:paraId="45982D1A"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6" w:history="1">
        <w:r w:rsidRPr="007F259A">
          <w:rPr>
            <w:rStyle w:val="Hyperlink"/>
            <w:noProof/>
          </w:rPr>
          <w:t xml:space="preserve">Figure A.5: Average Predicted and Observed Loads on Event-like Days, </w:t>
        </w:r>
        <w:r w:rsidRPr="007F259A">
          <w:rPr>
            <w:rStyle w:val="Hyperlink"/>
            <w:i/>
            <w:noProof/>
          </w:rPr>
          <w:t>PG&amp;E</w:t>
        </w:r>
        <w:r>
          <w:rPr>
            <w:noProof/>
            <w:webHidden/>
          </w:rPr>
          <w:tab/>
        </w:r>
        <w:r>
          <w:rPr>
            <w:noProof/>
            <w:webHidden/>
          </w:rPr>
          <w:fldChar w:fldCharType="begin"/>
        </w:r>
        <w:r>
          <w:rPr>
            <w:noProof/>
            <w:webHidden/>
          </w:rPr>
          <w:instrText xml:space="preserve"> PAGEREF _Toc415761936 \h </w:instrText>
        </w:r>
        <w:r>
          <w:rPr>
            <w:noProof/>
            <w:webHidden/>
          </w:rPr>
        </w:r>
        <w:r>
          <w:rPr>
            <w:noProof/>
            <w:webHidden/>
          </w:rPr>
          <w:fldChar w:fldCharType="separate"/>
        </w:r>
        <w:r>
          <w:rPr>
            <w:noProof/>
            <w:webHidden/>
          </w:rPr>
          <w:t>68</w:t>
        </w:r>
        <w:r>
          <w:rPr>
            <w:noProof/>
            <w:webHidden/>
          </w:rPr>
          <w:fldChar w:fldCharType="end"/>
        </w:r>
      </w:hyperlink>
    </w:p>
    <w:p w14:paraId="7A071463"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7" w:history="1">
        <w:r w:rsidRPr="007F259A">
          <w:rPr>
            <w:rStyle w:val="Hyperlink"/>
            <w:noProof/>
          </w:rPr>
          <w:t xml:space="preserve">Figure A.6: Average Predicted and Observed Loads on Event-like Days, </w:t>
        </w:r>
        <w:r w:rsidRPr="007F259A">
          <w:rPr>
            <w:rStyle w:val="Hyperlink"/>
            <w:i/>
            <w:noProof/>
          </w:rPr>
          <w:t>SCE</w:t>
        </w:r>
        <w:r>
          <w:rPr>
            <w:noProof/>
            <w:webHidden/>
          </w:rPr>
          <w:tab/>
        </w:r>
        <w:r>
          <w:rPr>
            <w:noProof/>
            <w:webHidden/>
          </w:rPr>
          <w:fldChar w:fldCharType="begin"/>
        </w:r>
        <w:r>
          <w:rPr>
            <w:noProof/>
            <w:webHidden/>
          </w:rPr>
          <w:instrText xml:space="preserve"> PAGEREF _Toc415761937 \h </w:instrText>
        </w:r>
        <w:r>
          <w:rPr>
            <w:noProof/>
            <w:webHidden/>
          </w:rPr>
        </w:r>
        <w:r>
          <w:rPr>
            <w:noProof/>
            <w:webHidden/>
          </w:rPr>
          <w:fldChar w:fldCharType="separate"/>
        </w:r>
        <w:r>
          <w:rPr>
            <w:noProof/>
            <w:webHidden/>
          </w:rPr>
          <w:t>69</w:t>
        </w:r>
        <w:r>
          <w:rPr>
            <w:noProof/>
            <w:webHidden/>
          </w:rPr>
          <w:fldChar w:fldCharType="end"/>
        </w:r>
      </w:hyperlink>
    </w:p>
    <w:p w14:paraId="7CA600EA"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8" w:history="1">
        <w:r w:rsidRPr="007F259A">
          <w:rPr>
            <w:rStyle w:val="Hyperlink"/>
            <w:noProof/>
          </w:rPr>
          <w:t xml:space="preserve">Figure A.7: Average Predicted and Observed Loads on Event-like Days, </w:t>
        </w:r>
        <w:r w:rsidRPr="007F259A">
          <w:rPr>
            <w:rStyle w:val="Hyperlink"/>
            <w:i/>
            <w:noProof/>
          </w:rPr>
          <w:t>SDG&amp;E DA</w:t>
        </w:r>
        <w:r>
          <w:rPr>
            <w:noProof/>
            <w:webHidden/>
          </w:rPr>
          <w:tab/>
        </w:r>
        <w:r>
          <w:rPr>
            <w:noProof/>
            <w:webHidden/>
          </w:rPr>
          <w:fldChar w:fldCharType="begin"/>
        </w:r>
        <w:r>
          <w:rPr>
            <w:noProof/>
            <w:webHidden/>
          </w:rPr>
          <w:instrText xml:space="preserve"> PAGEREF _Toc415761938 \h </w:instrText>
        </w:r>
        <w:r>
          <w:rPr>
            <w:noProof/>
            <w:webHidden/>
          </w:rPr>
        </w:r>
        <w:r>
          <w:rPr>
            <w:noProof/>
            <w:webHidden/>
          </w:rPr>
          <w:fldChar w:fldCharType="separate"/>
        </w:r>
        <w:r>
          <w:rPr>
            <w:noProof/>
            <w:webHidden/>
          </w:rPr>
          <w:t>69</w:t>
        </w:r>
        <w:r>
          <w:rPr>
            <w:noProof/>
            <w:webHidden/>
          </w:rPr>
          <w:fldChar w:fldCharType="end"/>
        </w:r>
      </w:hyperlink>
    </w:p>
    <w:p w14:paraId="077E0108" w14:textId="77777777" w:rsidR="001C37C9" w:rsidRDefault="001C37C9">
      <w:pPr>
        <w:pStyle w:val="TableofFigures"/>
        <w:tabs>
          <w:tab w:val="right" w:leader="dot" w:pos="9350"/>
        </w:tabs>
        <w:rPr>
          <w:rFonts w:asciiTheme="minorHAnsi" w:eastAsiaTheme="minorEastAsia" w:hAnsiTheme="minorHAnsi" w:cstheme="minorBidi"/>
          <w:noProof/>
          <w:sz w:val="22"/>
          <w:szCs w:val="22"/>
        </w:rPr>
      </w:pPr>
      <w:hyperlink w:anchor="_Toc415761939" w:history="1">
        <w:r w:rsidRPr="007F259A">
          <w:rPr>
            <w:rStyle w:val="Hyperlink"/>
            <w:noProof/>
          </w:rPr>
          <w:t xml:space="preserve">Figure A.8: Average Predicted and Observed Loads on Event-like Days, </w:t>
        </w:r>
        <w:r w:rsidRPr="007F259A">
          <w:rPr>
            <w:rStyle w:val="Hyperlink"/>
            <w:i/>
            <w:noProof/>
          </w:rPr>
          <w:t>SDG&amp;E DO</w:t>
        </w:r>
        <w:r>
          <w:rPr>
            <w:noProof/>
            <w:webHidden/>
          </w:rPr>
          <w:tab/>
        </w:r>
        <w:r>
          <w:rPr>
            <w:noProof/>
            <w:webHidden/>
          </w:rPr>
          <w:fldChar w:fldCharType="begin"/>
        </w:r>
        <w:r>
          <w:rPr>
            <w:noProof/>
            <w:webHidden/>
          </w:rPr>
          <w:instrText xml:space="preserve"> PAGEREF _Toc415761939 \h </w:instrText>
        </w:r>
        <w:r>
          <w:rPr>
            <w:noProof/>
            <w:webHidden/>
          </w:rPr>
        </w:r>
        <w:r>
          <w:rPr>
            <w:noProof/>
            <w:webHidden/>
          </w:rPr>
          <w:fldChar w:fldCharType="separate"/>
        </w:r>
        <w:r>
          <w:rPr>
            <w:noProof/>
            <w:webHidden/>
          </w:rPr>
          <w:t>69</w:t>
        </w:r>
        <w:r>
          <w:rPr>
            <w:noProof/>
            <w:webHidden/>
          </w:rPr>
          <w:fldChar w:fldCharType="end"/>
        </w:r>
      </w:hyperlink>
    </w:p>
    <w:p w14:paraId="0E4EE11E" w14:textId="77777777" w:rsidR="00321E09" w:rsidRDefault="00321E09" w:rsidP="00321E09">
      <w:pPr>
        <w:tabs>
          <w:tab w:val="left" w:pos="1080"/>
          <w:tab w:val="right" w:leader="dot" w:pos="9360"/>
        </w:tabs>
        <w:spacing w:afterLines="60" w:after="144" w:line="360" w:lineRule="auto"/>
        <w:ind w:left="1181" w:right="720" w:hanging="1181"/>
        <w:jc w:val="center"/>
        <w:rPr>
          <w:b/>
          <w:sz w:val="28"/>
          <w:szCs w:val="28"/>
        </w:rPr>
        <w:sectPr w:rsidR="00321E09" w:rsidSect="00411FC1">
          <w:pgSz w:w="12240" w:h="15840"/>
          <w:pgMar w:top="1440" w:right="1440" w:bottom="1440" w:left="1440" w:header="720" w:footer="720" w:gutter="0"/>
          <w:pgNumType w:fmt="lowerRoman"/>
          <w:cols w:space="720"/>
          <w:docGrid w:linePitch="360"/>
        </w:sectPr>
      </w:pPr>
      <w:r>
        <w:rPr>
          <w:b/>
          <w:sz w:val="28"/>
          <w:szCs w:val="28"/>
        </w:rPr>
        <w:fldChar w:fldCharType="end"/>
      </w:r>
    </w:p>
    <w:p w14:paraId="031F03C2" w14:textId="77777777" w:rsidR="00321E09" w:rsidRDefault="00321E09" w:rsidP="00A0250B">
      <w:pPr>
        <w:pStyle w:val="Heading1"/>
      </w:pPr>
      <w:bookmarkStart w:id="1" w:name="_Toc415761798"/>
      <w:r>
        <w:lastRenderedPageBreak/>
        <w:t>Abstract</w:t>
      </w:r>
      <w:bookmarkEnd w:id="1"/>
    </w:p>
    <w:p w14:paraId="07EBB354" w14:textId="2B6F49BD" w:rsidR="00E16D29" w:rsidRDefault="004B3240" w:rsidP="00E16D29">
      <w:r>
        <w:t xml:space="preserve">This report documents </w:t>
      </w:r>
      <w:r w:rsidRPr="00933F01">
        <w:rPr>
          <w:i/>
        </w:rPr>
        <w:t>ex-post</w:t>
      </w:r>
      <w:r>
        <w:t xml:space="preserve"> and </w:t>
      </w:r>
      <w:r w:rsidRPr="00933F01">
        <w:rPr>
          <w:i/>
        </w:rPr>
        <w:t>ex-ante</w:t>
      </w:r>
      <w:r>
        <w:t xml:space="preserve"> load impact evaluations for the statewide Demand Bidding Program (“DBP”) in place at Pacific Gas and Electric Company (“PG&amp;E”), Southern California Edison (“SCE”), and San Diego Gas and Electric Company (“SDG&amp;E”) in 2014. The report provides estimates of </w:t>
      </w:r>
      <w:r w:rsidRPr="00933F01">
        <w:rPr>
          <w:i/>
        </w:rPr>
        <w:t>ex-post</w:t>
      </w:r>
      <w:r>
        <w:t xml:space="preserve"> load impacts that occurred during events called in 2014 and an </w:t>
      </w:r>
      <w:r w:rsidRPr="00933F01">
        <w:rPr>
          <w:i/>
        </w:rPr>
        <w:t>ex-ante</w:t>
      </w:r>
      <w:r>
        <w:t xml:space="preserve"> forecast of load impacts for 2015 through 2025 that is based on the IOU’s enrollment forecasts and the </w:t>
      </w:r>
      <w:r w:rsidRPr="00933F01">
        <w:rPr>
          <w:i/>
        </w:rPr>
        <w:t>ex-post</w:t>
      </w:r>
      <w:r>
        <w:t xml:space="preserve"> load impacts estimated for program years 2012 through 2014.</w:t>
      </w:r>
    </w:p>
    <w:p w14:paraId="784B6033" w14:textId="77777777" w:rsidR="00E16D29" w:rsidRDefault="00E16D29" w:rsidP="00E16D29"/>
    <w:p w14:paraId="7EB677B0" w14:textId="629721B3" w:rsidR="00E16D29" w:rsidRDefault="004B3240" w:rsidP="00E16D29">
      <w:pPr>
        <w:spacing w:after="60"/>
      </w:pPr>
      <w:r>
        <w:t xml:space="preserve">The </w:t>
      </w:r>
      <w:r w:rsidR="00E16D29" w:rsidRPr="00467FA8">
        <w:t>DBP</w:t>
      </w:r>
      <w:r w:rsidR="00E16D29">
        <w:t xml:space="preserve"> is a voluntary bidding program that </w:t>
      </w:r>
      <w:r>
        <w:t>offers qualified participants the opportunity to receive incentive payments for reducing their energy usage when an event is triggered.</w:t>
      </w:r>
      <w:r w:rsidR="00E16D29">
        <w:t xml:space="preserve"> </w:t>
      </w:r>
      <w:r>
        <w:t xml:space="preserve">Incentive payments </w:t>
      </w:r>
      <w:r w:rsidR="00E16D29">
        <w:t xml:space="preserve">are based on the difference between the customers’ actual metered load during an event to a </w:t>
      </w:r>
      <w:r>
        <w:t xml:space="preserve">10-in-10 </w:t>
      </w:r>
      <w:r w:rsidR="00E16D29">
        <w:t xml:space="preserve">baseline load that is calculated from each customer’s usage data prior to the event. For the most part, customers are notified of events by 12:00 noon on the previous day. Day-of notice is provided for one of SDG&amp;E’s two DBP schedules. </w:t>
      </w:r>
    </w:p>
    <w:p w14:paraId="391AA22F" w14:textId="77777777" w:rsidR="00E16D29" w:rsidRDefault="00E16D29" w:rsidP="00E16D29"/>
    <w:p w14:paraId="4DCCB9AB" w14:textId="7F6FFDB3" w:rsidR="00E16D29" w:rsidRPr="003126A4" w:rsidRDefault="00E16D29" w:rsidP="00E16D29">
      <w:r w:rsidRPr="000A774B">
        <w:t xml:space="preserve">PG&amp;E called </w:t>
      </w:r>
      <w:r>
        <w:t xml:space="preserve">twelve events, all of which had an hour-ending 13:00 to 20:00 event window. Three of the events were called for only a sub-set of customers in PG&amp;E’s service territory. </w:t>
      </w:r>
      <w:r w:rsidRPr="000A774B">
        <w:t xml:space="preserve">SCE called </w:t>
      </w:r>
      <w:r>
        <w:t>seven eight-hour events from hours ending 13:00 through 20:00. SDG&amp;E called two day-ahead events and four day-of events. Average event-day e</w:t>
      </w:r>
      <w:r w:rsidRPr="002C31CE">
        <w:t xml:space="preserve">nrollment in PG&amp;E’s DBP </w:t>
      </w:r>
      <w:r>
        <w:t>decreased relative to PY2013, from 952 to 846</w:t>
      </w:r>
      <w:r w:rsidRPr="002C31CE">
        <w:t xml:space="preserve">. </w:t>
      </w:r>
      <w:r w:rsidRPr="0093711C">
        <w:t xml:space="preserve">Enrollment in SCE's DBP fell from 1,312 service accounts in 2013 to 944 in 2014, </w:t>
      </w:r>
      <w:r w:rsidRPr="00CF0178">
        <w:t xml:space="preserve">largely as a result of removing </w:t>
      </w:r>
      <w:r>
        <w:t>“</w:t>
      </w:r>
      <w:r w:rsidRPr="00CF0178">
        <w:t>non-performing</w:t>
      </w:r>
      <w:r>
        <w:t>”</w:t>
      </w:r>
      <w:r w:rsidRPr="00CF0178">
        <w:t xml:space="preserve"> accounts. The sum of enrolled customers’ coincident maximum demands on the average event day was 847 MW. Each of SDG&amp;E’s programs consisted of a single customer, with multiple service accounts associated with each of them.</w:t>
      </w:r>
    </w:p>
    <w:p w14:paraId="41FBB1BC" w14:textId="77777777" w:rsidR="00E16D29" w:rsidRDefault="00E16D29" w:rsidP="00E16D29"/>
    <w:p w14:paraId="6FDE4040" w14:textId="37EB47CD" w:rsidR="00E16D29" w:rsidRDefault="00E16D29" w:rsidP="00E16D29">
      <w:r>
        <w:t>As in previous years, for most events</w:t>
      </w:r>
      <w:r w:rsidR="00C64731">
        <w:t xml:space="preserve"> only a portion o</w:t>
      </w:r>
      <w:r>
        <w:t xml:space="preserve">f the </w:t>
      </w:r>
      <w:r w:rsidR="00C64731">
        <w:t xml:space="preserve">enrolled </w:t>
      </w:r>
      <w:r>
        <w:t>customer accounts submitted bids. For PG&amp;E, 99</w:t>
      </w:r>
      <w:r w:rsidRPr="00EC4BDD">
        <w:t xml:space="preserve"> service accounts</w:t>
      </w:r>
      <w:r>
        <w:t xml:space="preserve"> submitted a bid for at least one event. </w:t>
      </w:r>
      <w:r w:rsidRPr="00055160">
        <w:t xml:space="preserve">At SCE, </w:t>
      </w:r>
      <w:r>
        <w:t>370</w:t>
      </w:r>
      <w:r w:rsidRPr="00055160">
        <w:t xml:space="preserve"> </w:t>
      </w:r>
      <w:r>
        <w:t xml:space="preserve">individual and lead </w:t>
      </w:r>
      <w:r w:rsidRPr="00055160">
        <w:t>service accounts submitted at least one bid during 201</w:t>
      </w:r>
      <w:r>
        <w:t>4.</w:t>
      </w:r>
    </w:p>
    <w:p w14:paraId="3C53D7FA" w14:textId="77777777" w:rsidR="00E16D29" w:rsidRDefault="00E16D29" w:rsidP="00E16D29"/>
    <w:p w14:paraId="77916E0E" w14:textId="77777777" w:rsidR="00E16D29" w:rsidRDefault="00E16D29" w:rsidP="00E16D29">
      <w:r w:rsidRPr="009F20A2">
        <w:rPr>
          <w:i/>
        </w:rPr>
        <w:t>Ex-post</w:t>
      </w:r>
      <w:r>
        <w:t xml:space="preserve"> load impacts were estimated from regression analysis of customer-level hourly load data, where the equations modeled hourly load as a function of variables that control for factors affecting consumers’ hourly demand levels. DBP load impacts for each event were obtained by summing the estimated hourly event coefficients across the customer-level models.  </w:t>
      </w:r>
    </w:p>
    <w:p w14:paraId="2137FFEE" w14:textId="77777777" w:rsidR="00E16D29" w:rsidRDefault="00E16D29" w:rsidP="00E16D29"/>
    <w:p w14:paraId="7C621637" w14:textId="77777777" w:rsidR="00E16D29" w:rsidRDefault="00E16D29" w:rsidP="00E16D29">
      <w:r>
        <w:t xml:space="preserve">The average program-level load impact for PG&amp;E’s full-dispatch events was 25 MW, or nearly 4 percent of enrolled load. Event-specific load impacts ranged from a low of 16 MW to a high of 40 MW. Nearly all of the load impacts were provided by customers dually enrolled in another DR program. </w:t>
      </w:r>
      <w:r w:rsidRPr="008E778D">
        <w:t xml:space="preserve">For SCE, average hourly program load impacts averaged approximately </w:t>
      </w:r>
      <w:r>
        <w:t>107</w:t>
      </w:r>
      <w:r w:rsidRPr="008E778D">
        <w:t xml:space="preserve"> MW across </w:t>
      </w:r>
      <w:r>
        <w:t xml:space="preserve">seven </w:t>
      </w:r>
      <w:r w:rsidRPr="008E778D">
        <w:t xml:space="preserve">events, </w:t>
      </w:r>
      <w:r>
        <w:t xml:space="preserve">amounting to </w:t>
      </w:r>
      <w:r w:rsidRPr="008E778D">
        <w:t>1</w:t>
      </w:r>
      <w:r>
        <w:t>3</w:t>
      </w:r>
      <w:r w:rsidRPr="008E778D">
        <w:t xml:space="preserve"> percent of the </w:t>
      </w:r>
      <w:r w:rsidRPr="008E778D">
        <w:lastRenderedPageBreak/>
        <w:t xml:space="preserve">total reference load. The event-specific load impacts ranged from a low of </w:t>
      </w:r>
      <w:r>
        <w:t>51</w:t>
      </w:r>
      <w:r w:rsidRPr="008E778D">
        <w:t xml:space="preserve"> MW to a high of 1</w:t>
      </w:r>
      <w:r>
        <w:t>43</w:t>
      </w:r>
      <w:r w:rsidRPr="008E778D">
        <w:t xml:space="preserve"> MW.</w:t>
      </w:r>
      <w:r>
        <w:t xml:space="preserve">  </w:t>
      </w:r>
      <w:r w:rsidRPr="00060B4B">
        <w:t xml:space="preserve">  </w:t>
      </w:r>
    </w:p>
    <w:p w14:paraId="59FB2421" w14:textId="77777777" w:rsidR="00E16D29" w:rsidRDefault="00E16D29" w:rsidP="00E16D29"/>
    <w:p w14:paraId="67B36336" w14:textId="16F58D5A" w:rsidR="00E16D29" w:rsidRDefault="00E16D29" w:rsidP="00E16D29">
      <w:pPr>
        <w:spacing w:after="60"/>
      </w:pPr>
      <w:r w:rsidRPr="007D51B3">
        <w:t xml:space="preserve">In the </w:t>
      </w:r>
      <w:r w:rsidRPr="009F20A2">
        <w:rPr>
          <w:i/>
        </w:rPr>
        <w:t>ex-ante</w:t>
      </w:r>
      <w:r w:rsidRPr="007D51B3">
        <w:t xml:space="preserve"> evaluation, </w:t>
      </w:r>
      <w:r w:rsidRPr="00977371">
        <w:t xml:space="preserve">SCE forecasts DBP customer enrollment to decrease in </w:t>
      </w:r>
      <w:r>
        <w:t xml:space="preserve">each year from </w:t>
      </w:r>
      <w:r w:rsidRPr="00977371">
        <w:t>201</w:t>
      </w:r>
      <w:r>
        <w:t>5</w:t>
      </w:r>
      <w:r w:rsidRPr="00977371">
        <w:t xml:space="preserve"> </w:t>
      </w:r>
      <w:r>
        <w:t xml:space="preserve">to 2017 </w:t>
      </w:r>
      <w:r w:rsidRPr="00977371">
        <w:t>due to the removal of “non-performing” customers</w:t>
      </w:r>
      <w:r>
        <w:t>, resulting in approximately 900 service accounts in 2015, falling to approximately 700 accounts in 2017</w:t>
      </w:r>
      <w:r w:rsidRPr="00977371">
        <w:t>. During the 201</w:t>
      </w:r>
      <w:r>
        <w:t>5</w:t>
      </w:r>
      <w:r w:rsidRPr="00977371">
        <w:t xml:space="preserve"> program year, SCE's average event-hour load impact is approximately </w:t>
      </w:r>
      <w:r>
        <w:t xml:space="preserve">110.4 </w:t>
      </w:r>
      <w:r w:rsidRPr="00977371">
        <w:t>MW.</w:t>
      </w:r>
      <w:r>
        <w:t xml:space="preserve"> PG&amp;E forecasts DBP enrollment to drop slightly to 784 service accounts in 2015 and remain at that level through the 2015 to 2025 forecast period. PG&amp;E's program-level load impacts are forecast to be 32.5 MW during a 1-in-2 August peak day. For both PG&amp;E and SCE, the portfolio-level load impacts are substantially less than the program-level load impacts because of the high level of load response provided by customers dually enrolled in the Base Interruptible Program (BIP) and aggregator programs (</w:t>
      </w:r>
      <w:r w:rsidRPr="00133DBC">
        <w:rPr>
          <w:i/>
        </w:rPr>
        <w:t>e.g</w:t>
      </w:r>
      <w:r>
        <w:t>., the Capacity Bidding Program</w:t>
      </w:r>
      <w:r w:rsidR="0073426C">
        <w:t xml:space="preserve"> or Aggregator Managed Portfolio</w:t>
      </w:r>
      <w:r>
        <w:t>). For SCE, the portfolio-level load impact is 4.6</w:t>
      </w:r>
      <w:r w:rsidRPr="00977371">
        <w:t xml:space="preserve"> MW in 201</w:t>
      </w:r>
      <w:r>
        <w:t>5. For PG&amp;E, the portfolio-level load impact is 1 MW during a 1-in-2 August peak day.</w:t>
      </w:r>
    </w:p>
    <w:p w14:paraId="6896928F" w14:textId="77777777" w:rsidR="00321E09" w:rsidRDefault="00321E09" w:rsidP="008A3E42">
      <w:pPr>
        <w:pStyle w:val="Heading1"/>
      </w:pPr>
      <w:r>
        <w:br w:type="page"/>
      </w:r>
      <w:bookmarkStart w:id="2" w:name="_Toc415761799"/>
      <w:r w:rsidRPr="00A4025E">
        <w:lastRenderedPageBreak/>
        <w:t>Executive Summary</w:t>
      </w:r>
      <w:bookmarkEnd w:id="2"/>
      <w:r w:rsidRPr="00A4025E">
        <w:t xml:space="preserve"> </w:t>
      </w:r>
    </w:p>
    <w:p w14:paraId="0EDF481C" w14:textId="77777777" w:rsidR="00C8209E" w:rsidRDefault="00C8209E" w:rsidP="00C8209E">
      <w:r>
        <w:t xml:space="preserve">This report documents </w:t>
      </w:r>
      <w:r w:rsidRPr="009F20A2">
        <w:rPr>
          <w:i/>
        </w:rPr>
        <w:t>ex-post</w:t>
      </w:r>
      <w:r>
        <w:t xml:space="preserve"> and </w:t>
      </w:r>
      <w:r w:rsidRPr="009F20A2">
        <w:rPr>
          <w:i/>
        </w:rPr>
        <w:t>ex-ante</w:t>
      </w:r>
      <w:r>
        <w:t xml:space="preserve"> load impact evaluations for the statewide Demand Bidding Program (“DBP”) in place at Pacific Gas and Electric Company (“PG&amp;E”), Southern California Edison (“SCE”), and San Diego Gas and Electric Company (“SDG&amp;E”) in 2014. The report provides estimates of </w:t>
      </w:r>
      <w:r w:rsidRPr="009F20A2">
        <w:rPr>
          <w:i/>
        </w:rPr>
        <w:t>ex-post</w:t>
      </w:r>
      <w:r>
        <w:t xml:space="preserve"> load impacts that occurred during events called in 2014 and </w:t>
      </w:r>
      <w:r w:rsidRPr="009F20A2">
        <w:rPr>
          <w:i/>
        </w:rPr>
        <w:t>ex-ante</w:t>
      </w:r>
      <w:r>
        <w:t xml:space="preserve"> forecasts of load impacts for 2015 through 2025 that are based on utility enrollment forecasts and the </w:t>
      </w:r>
      <w:r w:rsidRPr="009F20A2">
        <w:rPr>
          <w:i/>
        </w:rPr>
        <w:t>ex-post</w:t>
      </w:r>
      <w:r>
        <w:t xml:space="preserve"> load impacts estimated for program years 2012 through 2014. </w:t>
      </w:r>
    </w:p>
    <w:p w14:paraId="26DE1D16" w14:textId="77777777" w:rsidR="00C8209E" w:rsidRDefault="00C8209E" w:rsidP="00C8209E"/>
    <w:p w14:paraId="320E9056" w14:textId="77777777" w:rsidR="00C8209E" w:rsidRDefault="00C8209E" w:rsidP="00C8209E">
      <w:pPr>
        <w:spacing w:after="240"/>
      </w:pPr>
      <w:r>
        <w:t>The primary research questions addressed by this evaluation are:</w:t>
      </w:r>
    </w:p>
    <w:p w14:paraId="73C407AF" w14:textId="77777777" w:rsidR="00C8209E" w:rsidRDefault="00C8209E" w:rsidP="00C8209E">
      <w:pPr>
        <w:numPr>
          <w:ilvl w:val="0"/>
          <w:numId w:val="7"/>
        </w:numPr>
      </w:pPr>
      <w:r>
        <w:t>What were the DBP load impacts in 2014?</w:t>
      </w:r>
    </w:p>
    <w:p w14:paraId="4267B99D" w14:textId="77777777" w:rsidR="00C8209E" w:rsidRDefault="00C8209E" w:rsidP="00C8209E">
      <w:pPr>
        <w:numPr>
          <w:ilvl w:val="0"/>
          <w:numId w:val="7"/>
        </w:numPr>
      </w:pPr>
      <w:r>
        <w:t>How were the load impacts distributed across industry groups?</w:t>
      </w:r>
    </w:p>
    <w:p w14:paraId="20488B63" w14:textId="77777777" w:rsidR="00C8209E" w:rsidRDefault="00C8209E" w:rsidP="00C8209E">
      <w:pPr>
        <w:numPr>
          <w:ilvl w:val="0"/>
          <w:numId w:val="7"/>
        </w:numPr>
      </w:pPr>
      <w:r>
        <w:t>How were the load impacts distributed across local capacity areas?</w:t>
      </w:r>
    </w:p>
    <w:p w14:paraId="1A181628" w14:textId="77777777" w:rsidR="00C8209E" w:rsidRDefault="00C8209E" w:rsidP="00C8209E">
      <w:pPr>
        <w:numPr>
          <w:ilvl w:val="0"/>
          <w:numId w:val="7"/>
        </w:numPr>
      </w:pPr>
      <w:r>
        <w:t>What were the effects of TA/TI and AutoDR on customer-level load impacts?</w:t>
      </w:r>
    </w:p>
    <w:p w14:paraId="2916B10F" w14:textId="77777777" w:rsidR="00C8209E" w:rsidRDefault="00C8209E" w:rsidP="00C8209E">
      <w:pPr>
        <w:numPr>
          <w:ilvl w:val="0"/>
          <w:numId w:val="7"/>
        </w:numPr>
      </w:pPr>
      <w:r>
        <w:t xml:space="preserve">What are the </w:t>
      </w:r>
      <w:r w:rsidRPr="009F20A2">
        <w:rPr>
          <w:i/>
        </w:rPr>
        <w:t>ex-ante</w:t>
      </w:r>
      <w:r>
        <w:t xml:space="preserve"> load impacts for 2015 through 2025?</w:t>
      </w:r>
    </w:p>
    <w:p w14:paraId="66934C96" w14:textId="77777777" w:rsidR="00C8209E" w:rsidRDefault="00C8209E" w:rsidP="00C8209E">
      <w:pPr>
        <w:pStyle w:val="Heading2"/>
      </w:pPr>
      <w:bookmarkStart w:id="3" w:name="_Toc206570216"/>
      <w:bookmarkStart w:id="4" w:name="_Toc257708579"/>
      <w:bookmarkStart w:id="5" w:name="_Toc289180053"/>
      <w:bookmarkStart w:id="6" w:name="_Toc326224610"/>
      <w:bookmarkStart w:id="7" w:name="_Toc352235825"/>
      <w:bookmarkStart w:id="8" w:name="_Toc383774910"/>
      <w:bookmarkStart w:id="9" w:name="_Toc415761800"/>
      <w:r>
        <w:t xml:space="preserve">ES.1 </w:t>
      </w:r>
      <w:bookmarkEnd w:id="3"/>
      <w:r>
        <w:t>Resources covered</w:t>
      </w:r>
      <w:bookmarkEnd w:id="4"/>
      <w:bookmarkEnd w:id="5"/>
      <w:bookmarkEnd w:id="6"/>
      <w:bookmarkEnd w:id="7"/>
      <w:bookmarkEnd w:id="8"/>
      <w:bookmarkEnd w:id="9"/>
    </w:p>
    <w:p w14:paraId="3BEE02EA" w14:textId="77777777" w:rsidR="00C8209E" w:rsidRPr="002D3452" w:rsidRDefault="00C8209E" w:rsidP="00C8209E">
      <w:pPr>
        <w:pStyle w:val="Heading3"/>
        <w:rPr>
          <w:sz w:val="22"/>
          <w:szCs w:val="22"/>
        </w:rPr>
      </w:pPr>
      <w:bookmarkStart w:id="10" w:name="_Toc257708580"/>
      <w:bookmarkStart w:id="11" w:name="_Toc289180054"/>
      <w:bookmarkStart w:id="12" w:name="_Toc326224611"/>
      <w:bookmarkStart w:id="13" w:name="_Toc352235826"/>
      <w:bookmarkStart w:id="14" w:name="_Toc383774911"/>
      <w:bookmarkStart w:id="15" w:name="_Toc415761801"/>
      <w:r w:rsidRPr="002D3452">
        <w:rPr>
          <w:sz w:val="22"/>
          <w:szCs w:val="22"/>
        </w:rPr>
        <w:t>D</w:t>
      </w:r>
      <w:r>
        <w:rPr>
          <w:sz w:val="22"/>
          <w:szCs w:val="22"/>
        </w:rPr>
        <w:t>emand Bidding</w:t>
      </w:r>
      <w:r w:rsidRPr="002D3452">
        <w:rPr>
          <w:sz w:val="22"/>
          <w:szCs w:val="22"/>
        </w:rPr>
        <w:t xml:space="preserve"> Program</w:t>
      </w:r>
      <w:bookmarkEnd w:id="10"/>
      <w:bookmarkEnd w:id="11"/>
      <w:bookmarkEnd w:id="12"/>
      <w:bookmarkEnd w:id="13"/>
      <w:bookmarkEnd w:id="14"/>
      <w:bookmarkEnd w:id="15"/>
    </w:p>
    <w:p w14:paraId="34F29E7B" w14:textId="4B0E6229" w:rsidR="00C8209E" w:rsidRDefault="0073426C" w:rsidP="00C8209E">
      <w:pPr>
        <w:autoSpaceDE w:val="0"/>
        <w:autoSpaceDN w:val="0"/>
        <w:adjustRightInd w:val="0"/>
      </w:pPr>
      <w:r>
        <w:t>The DBP is a voluntary bidding program that offers qualified participants the opportunity to receive incentive payments for reducing their energy usage when an event is triggered. First approved in CPUC D.01-07-025, modifications have been made to the program, including changes made for the 2006-2008 program cycle, at the direction of the CPUC in D.05-01-056. In that decision, the IOUs were directed to continue the DBPs. In addition, a new SDG&amp;E DBP was authorized by resolution E-4511 on July 17, 2012 in response to the fact that San Onofre Nuclear Generating Station Unit 3 is offline.</w:t>
      </w:r>
    </w:p>
    <w:p w14:paraId="5AB6957F" w14:textId="77777777" w:rsidR="00C8209E" w:rsidRDefault="00C8209E" w:rsidP="00C8209E">
      <w:pPr>
        <w:autoSpaceDE w:val="0"/>
        <w:autoSpaceDN w:val="0"/>
        <w:adjustRightInd w:val="0"/>
      </w:pPr>
    </w:p>
    <w:p w14:paraId="2992078C" w14:textId="00E2A1C2" w:rsidR="00C8209E" w:rsidRDefault="0073426C" w:rsidP="00C8209E">
      <w:pPr>
        <w:autoSpaceDE w:val="0"/>
        <w:autoSpaceDN w:val="0"/>
        <w:adjustRightInd w:val="0"/>
      </w:pPr>
      <w:r>
        <w:t>The DBP is designed for non-residential bundled service, Community Choice Aggregation, and Direct Access (“DA”) customers. Customers must have internet access and communicating interval metering or SmartMeter™ approved by each of the IOUs. A DBP event may occur at any time throughout the year. At PG&amp;E and SCE, D</w:t>
      </w:r>
      <w:r w:rsidRPr="000E20AC">
        <w:t>BP customers may</w:t>
      </w:r>
      <w:r w:rsidRPr="00470F93">
        <w:t xml:space="preserve"> participate in another demand response </w:t>
      </w:r>
      <w:r w:rsidRPr="00514D45">
        <w:t>(DR) program, but that DR program must be a capacity-paying program with same day notification (e.g., Base Interruptible Program</w:t>
      </w:r>
      <w:r>
        <w:t xml:space="preserve"> or Capacity Bidding Program</w:t>
      </w:r>
      <w:r w:rsidRPr="00514D45">
        <w:t xml:space="preserve">). </w:t>
      </w:r>
      <w:r>
        <w:t xml:space="preserve">For </w:t>
      </w:r>
      <w:r w:rsidRPr="00132116">
        <w:t xml:space="preserve">simultaneous or overlapping events, the dual-participants receive payment for the capacity-paying program and not for the simultaneous hours of </w:t>
      </w:r>
      <w:r>
        <w:t xml:space="preserve">the </w:t>
      </w:r>
      <w:r w:rsidRPr="00132116">
        <w:t>DBP</w:t>
      </w:r>
      <w:r>
        <w:t xml:space="preserve"> event</w:t>
      </w:r>
      <w:r w:rsidRPr="00132116">
        <w:t>.</w:t>
      </w:r>
    </w:p>
    <w:p w14:paraId="62385A9A" w14:textId="77777777" w:rsidR="00C8209E" w:rsidRDefault="00C8209E" w:rsidP="00C8209E"/>
    <w:p w14:paraId="26F8B07F" w14:textId="03805367" w:rsidR="00C8209E" w:rsidRDefault="00C8209E" w:rsidP="00C8209E">
      <w:r w:rsidRPr="000A774B">
        <w:t xml:space="preserve">PG&amp;E called </w:t>
      </w:r>
      <w:r>
        <w:t>twelve events, all of which had an hour-ending 13:00 to 20:00 event w</w:t>
      </w:r>
      <w:r w:rsidR="0073426C">
        <w:t xml:space="preserve">indow. Three of the events were </w:t>
      </w:r>
      <w:r>
        <w:t xml:space="preserve">called for only a sub-set of customers in PG&amp;E’s service territory. </w:t>
      </w:r>
      <w:r w:rsidRPr="000A774B">
        <w:t xml:space="preserve">SCE called </w:t>
      </w:r>
      <w:r>
        <w:t>seven eight-hour events from hours ending 13:00 through 20:00. SDG&amp;E called two day-ahead events and four day-of events.</w:t>
      </w:r>
    </w:p>
    <w:p w14:paraId="2D97B6DA" w14:textId="77777777" w:rsidR="00C8209E" w:rsidRPr="002D3452" w:rsidRDefault="00C8209E" w:rsidP="00C8209E">
      <w:pPr>
        <w:pStyle w:val="Heading3"/>
        <w:rPr>
          <w:sz w:val="22"/>
          <w:szCs w:val="22"/>
        </w:rPr>
      </w:pPr>
      <w:bookmarkStart w:id="16" w:name="_Toc257708581"/>
      <w:bookmarkStart w:id="17" w:name="_Toc289180055"/>
      <w:bookmarkStart w:id="18" w:name="_Toc326224612"/>
      <w:bookmarkStart w:id="19" w:name="_Toc352235827"/>
      <w:bookmarkStart w:id="20" w:name="_Toc383774912"/>
      <w:bookmarkStart w:id="21" w:name="_Toc415761802"/>
      <w:r>
        <w:rPr>
          <w:sz w:val="22"/>
          <w:szCs w:val="22"/>
        </w:rPr>
        <w:lastRenderedPageBreak/>
        <w:t>Enrollment</w:t>
      </w:r>
      <w:bookmarkEnd w:id="16"/>
      <w:bookmarkEnd w:id="17"/>
      <w:bookmarkEnd w:id="18"/>
      <w:bookmarkEnd w:id="19"/>
      <w:bookmarkEnd w:id="20"/>
      <w:bookmarkEnd w:id="21"/>
    </w:p>
    <w:p w14:paraId="304EA44F" w14:textId="62C36191" w:rsidR="00C8209E" w:rsidRDefault="00C8209E" w:rsidP="00C8209E">
      <w:r>
        <w:t>Average event-day e</w:t>
      </w:r>
      <w:r w:rsidRPr="002C31CE">
        <w:t xml:space="preserve">nrollment in PG&amp;E’s DBP </w:t>
      </w:r>
      <w:r>
        <w:t>decreased relative to PY2013, from 952 to 846 2014</w:t>
      </w:r>
      <w:r w:rsidRPr="002C31CE">
        <w:t xml:space="preserve">. </w:t>
      </w:r>
      <w:r>
        <w:t>T</w:t>
      </w:r>
      <w:r w:rsidRPr="002C31CE">
        <w:t xml:space="preserve">he sum of enrolled customers’ </w:t>
      </w:r>
      <w:r>
        <w:t>coincident</w:t>
      </w:r>
      <w:r w:rsidRPr="002C31CE">
        <w:t xml:space="preserve"> maximum demands </w:t>
      </w:r>
      <w:r>
        <w:t xml:space="preserve">was 673 MW, or 0.80 </w:t>
      </w:r>
      <w:r w:rsidRPr="009D06AF">
        <w:t xml:space="preserve">MW for the average </w:t>
      </w:r>
      <w:r>
        <w:t>service account</w:t>
      </w:r>
      <w:r w:rsidRPr="009D06AF">
        <w:t>.</w:t>
      </w:r>
      <w:r w:rsidRPr="002C31CE">
        <w:t xml:space="preserve"> T</w:t>
      </w:r>
      <w:r>
        <w:t xml:space="preserve">wo industry groups made up approximately half of PG&amp;E’s DBP enrollment: </w:t>
      </w:r>
      <w:r w:rsidRPr="002C31CE">
        <w:t>manufacturing</w:t>
      </w:r>
      <w:r>
        <w:t>;</w:t>
      </w:r>
      <w:r w:rsidRPr="002C31CE">
        <w:t xml:space="preserve"> and </w:t>
      </w:r>
      <w:r>
        <w:t>o</w:t>
      </w:r>
      <w:r w:rsidRPr="00C06BAC">
        <w:t xml:space="preserve">ffices, </w:t>
      </w:r>
      <w:r>
        <w:t>h</w:t>
      </w:r>
      <w:r w:rsidRPr="00C06BAC">
        <w:t xml:space="preserve">otels, </w:t>
      </w:r>
      <w:r w:rsidR="0073426C">
        <w:t>health</w:t>
      </w:r>
      <w:r w:rsidRPr="00C06BAC">
        <w:t xml:space="preserve">, </w:t>
      </w:r>
      <w:r>
        <w:t>s</w:t>
      </w:r>
      <w:r w:rsidRPr="00C06BAC">
        <w:t>ervices</w:t>
      </w:r>
      <w:r w:rsidRPr="002C31CE">
        <w:t>.</w:t>
      </w:r>
      <w:r>
        <w:t xml:space="preserve"> </w:t>
      </w:r>
    </w:p>
    <w:p w14:paraId="54023FBE" w14:textId="77777777" w:rsidR="00C8209E" w:rsidRDefault="00C8209E" w:rsidP="00C8209E"/>
    <w:p w14:paraId="75543C14" w14:textId="77777777" w:rsidR="00C8209E" w:rsidRPr="001101A4" w:rsidRDefault="00C8209E" w:rsidP="00C8209E">
      <w:r w:rsidRPr="00550E7D">
        <w:t xml:space="preserve">SCE’s enrollment in DBP averaged </w:t>
      </w:r>
      <w:r>
        <w:t>944</w:t>
      </w:r>
      <w:r w:rsidRPr="00550E7D">
        <w:t xml:space="preserve"> service accounts across the PY201</w:t>
      </w:r>
      <w:r>
        <w:t>4</w:t>
      </w:r>
      <w:r w:rsidRPr="00550E7D">
        <w:t xml:space="preserve"> event days, which is a </w:t>
      </w:r>
      <w:r>
        <w:t xml:space="preserve">significant </w:t>
      </w:r>
      <w:r w:rsidRPr="00550E7D">
        <w:t>decrease relative to the average of 1,3</w:t>
      </w:r>
      <w:r>
        <w:t>12</w:t>
      </w:r>
      <w:r w:rsidRPr="00550E7D">
        <w:t xml:space="preserve"> enrolled service accounts across the PY201</w:t>
      </w:r>
      <w:r>
        <w:t>3</w:t>
      </w:r>
      <w:r w:rsidRPr="00550E7D">
        <w:t xml:space="preserve"> event days.</w:t>
      </w:r>
      <w:r>
        <w:t xml:space="preserve"> </w:t>
      </w:r>
      <w:r w:rsidRPr="00550E7D">
        <w:t xml:space="preserve">These accounted for a total of </w:t>
      </w:r>
      <w:r>
        <w:t>847</w:t>
      </w:r>
      <w:r w:rsidRPr="00550E7D">
        <w:t xml:space="preserve"> MW of maximum demand, or 0.</w:t>
      </w:r>
      <w:r>
        <w:t>90</w:t>
      </w:r>
      <w:r w:rsidRPr="00550E7D">
        <w:t xml:space="preserve"> MW per service account. Manufacturers continued to make up more than half of the enrolled load.  </w:t>
      </w:r>
      <w:r w:rsidRPr="008E778D">
        <w:t xml:space="preserve"> </w:t>
      </w:r>
    </w:p>
    <w:p w14:paraId="3B91C639" w14:textId="77777777" w:rsidR="00C8209E" w:rsidRDefault="00C8209E" w:rsidP="00C8209E"/>
    <w:p w14:paraId="626E5564" w14:textId="6788BEC4" w:rsidR="00C8209E" w:rsidRPr="001101A4" w:rsidRDefault="00C8209E" w:rsidP="00C8209E">
      <w:r>
        <w:t>SDG&amp;E’s DBP</w:t>
      </w:r>
      <w:r w:rsidR="00F52EC6">
        <w:t>-DO and DBP-DA</w:t>
      </w:r>
      <w:r>
        <w:t xml:space="preserve"> programs each consist of service accounts associated with a single large customer.</w:t>
      </w:r>
    </w:p>
    <w:p w14:paraId="3DCED19E" w14:textId="77777777" w:rsidR="00C8209E" w:rsidRPr="00114823" w:rsidRDefault="00C8209E" w:rsidP="00C8209E">
      <w:pPr>
        <w:pStyle w:val="Heading3"/>
        <w:rPr>
          <w:sz w:val="22"/>
          <w:szCs w:val="22"/>
        </w:rPr>
      </w:pPr>
      <w:bookmarkStart w:id="22" w:name="_Toc257708582"/>
      <w:bookmarkStart w:id="23" w:name="_Toc289180056"/>
      <w:bookmarkStart w:id="24" w:name="_Toc326224613"/>
      <w:bookmarkStart w:id="25" w:name="_Toc352235828"/>
      <w:bookmarkStart w:id="26" w:name="_Toc383774913"/>
      <w:bookmarkStart w:id="27" w:name="_Toc415761803"/>
      <w:r w:rsidRPr="00114823">
        <w:rPr>
          <w:sz w:val="22"/>
          <w:szCs w:val="22"/>
        </w:rPr>
        <w:t xml:space="preserve">Bidding </w:t>
      </w:r>
      <w:r>
        <w:rPr>
          <w:sz w:val="22"/>
          <w:szCs w:val="22"/>
        </w:rPr>
        <w:t>B</w:t>
      </w:r>
      <w:r w:rsidRPr="00114823">
        <w:rPr>
          <w:sz w:val="22"/>
          <w:szCs w:val="22"/>
        </w:rPr>
        <w:t>ehavior</w:t>
      </w:r>
      <w:bookmarkEnd w:id="22"/>
      <w:bookmarkEnd w:id="23"/>
      <w:bookmarkEnd w:id="24"/>
      <w:bookmarkEnd w:id="25"/>
      <w:bookmarkEnd w:id="26"/>
      <w:bookmarkEnd w:id="27"/>
    </w:p>
    <w:p w14:paraId="424C70A4" w14:textId="529C846E" w:rsidR="00C8209E" w:rsidRDefault="00C64731" w:rsidP="00C8209E">
      <w:r>
        <w:t>As in previous years, for most events only a portion of the enrolled customer accounts submitted bids.</w:t>
      </w:r>
      <w:r w:rsidR="00C8209E">
        <w:t xml:space="preserve"> For PG&amp;E, 99</w:t>
      </w:r>
      <w:r w:rsidR="00C8209E" w:rsidRPr="00EC4BDD">
        <w:t xml:space="preserve"> service accounts</w:t>
      </w:r>
      <w:r w:rsidR="00C8209E">
        <w:t xml:space="preserve"> submitted a bid for at least one event. </w:t>
      </w:r>
      <w:r w:rsidR="00C8209E" w:rsidRPr="00055160">
        <w:t xml:space="preserve">At SCE, </w:t>
      </w:r>
      <w:r w:rsidR="00C8209E">
        <w:t>370</w:t>
      </w:r>
      <w:r w:rsidR="00C8209E" w:rsidRPr="00055160">
        <w:t xml:space="preserve"> </w:t>
      </w:r>
      <w:r w:rsidR="00C8209E">
        <w:t xml:space="preserve">individual and lead </w:t>
      </w:r>
      <w:r w:rsidR="00C8209E" w:rsidRPr="00055160">
        <w:t>service accounts submitted at least one bid during 201</w:t>
      </w:r>
      <w:r w:rsidR="00C8209E">
        <w:t>4.</w:t>
      </w:r>
    </w:p>
    <w:p w14:paraId="098A200B" w14:textId="77777777" w:rsidR="00C8209E" w:rsidRDefault="00C8209E" w:rsidP="00C8209E">
      <w:pPr>
        <w:pStyle w:val="Heading2"/>
      </w:pPr>
      <w:bookmarkStart w:id="28" w:name="_Toc206570215"/>
      <w:bookmarkStart w:id="29" w:name="_Toc257708583"/>
      <w:bookmarkStart w:id="30" w:name="_Toc289180057"/>
      <w:bookmarkStart w:id="31" w:name="_Toc326224614"/>
      <w:bookmarkStart w:id="32" w:name="_Toc352235829"/>
      <w:bookmarkStart w:id="33" w:name="_Toc383774914"/>
      <w:bookmarkStart w:id="34" w:name="_Toc415761804"/>
      <w:r>
        <w:t>ES.2 Evaluation Methodology</w:t>
      </w:r>
      <w:bookmarkEnd w:id="28"/>
      <w:bookmarkEnd w:id="29"/>
      <w:bookmarkEnd w:id="30"/>
      <w:bookmarkEnd w:id="31"/>
      <w:bookmarkEnd w:id="32"/>
      <w:bookmarkEnd w:id="33"/>
      <w:bookmarkEnd w:id="34"/>
    </w:p>
    <w:p w14:paraId="12FBFF05" w14:textId="77777777" w:rsidR="00C8209E" w:rsidRDefault="00C8209E" w:rsidP="00C8209E">
      <w:pPr>
        <w:spacing w:after="240"/>
      </w:pPr>
      <w:r>
        <w:t xml:space="preserve">We estimated </w:t>
      </w:r>
      <w:r w:rsidRPr="009F20A2">
        <w:rPr>
          <w:i/>
        </w:rPr>
        <w:t>ex-post</w:t>
      </w:r>
      <w:r>
        <w:t xml:space="preserve"> load impacts using regression analysis of customer-level hourly load data. Individual-customer regression equations modeled hourly load as a function of several variables designed to control for factors affecting consumers’ hourly demand levels, including:</w:t>
      </w:r>
    </w:p>
    <w:p w14:paraId="68731F0E" w14:textId="77777777" w:rsidR="00C8209E" w:rsidRPr="001E060E" w:rsidRDefault="00C8209E" w:rsidP="00C8209E">
      <w:pPr>
        <w:numPr>
          <w:ilvl w:val="0"/>
          <w:numId w:val="1"/>
        </w:numPr>
      </w:pPr>
      <w:r>
        <w:t>Seasonal and hourly time patterns (</w:t>
      </w:r>
      <w:r>
        <w:rPr>
          <w:i/>
        </w:rPr>
        <w:t>e.g.</w:t>
      </w:r>
      <w:r>
        <w:t xml:space="preserve">, year, month, day-of-week, and hour, plus </w:t>
      </w:r>
      <w:r w:rsidRPr="001E060E">
        <w:t>various hour/day-type interactions)</w:t>
      </w:r>
      <w:r>
        <w:t>;</w:t>
      </w:r>
    </w:p>
    <w:p w14:paraId="237B5DCA" w14:textId="77777777" w:rsidR="00C8209E" w:rsidRPr="001E060E" w:rsidRDefault="00C8209E" w:rsidP="00C8209E">
      <w:pPr>
        <w:numPr>
          <w:ilvl w:val="0"/>
          <w:numId w:val="1"/>
        </w:numPr>
      </w:pPr>
      <w:r w:rsidRPr="001E060E">
        <w:t>Weather (</w:t>
      </w:r>
      <w:r w:rsidRPr="001E060E">
        <w:rPr>
          <w:i/>
        </w:rPr>
        <w:t>e.g.</w:t>
      </w:r>
      <w:r w:rsidRPr="001E060E">
        <w:t xml:space="preserve">, cooling degree </w:t>
      </w:r>
      <w:r>
        <w:t>hours</w:t>
      </w:r>
      <w:r w:rsidRPr="001E060E">
        <w:t>, including hour-specific weather coefficients)</w:t>
      </w:r>
      <w:r>
        <w:t>;</w:t>
      </w:r>
    </w:p>
    <w:p w14:paraId="4EC9D1F8" w14:textId="77777777" w:rsidR="00C8209E" w:rsidRPr="001E060E" w:rsidRDefault="00C8209E" w:rsidP="00C8209E">
      <w:pPr>
        <w:numPr>
          <w:ilvl w:val="0"/>
          <w:numId w:val="1"/>
        </w:numPr>
      </w:pPr>
      <w:r w:rsidRPr="001E060E">
        <w:t xml:space="preserve">Event </w:t>
      </w:r>
      <w:r>
        <w:t xml:space="preserve">indicator (dummy) variables. A series of variables was included to account for each hour of each event day, allowing us to estimate the load impacts for each hour of each event day.  </w:t>
      </w:r>
    </w:p>
    <w:p w14:paraId="2F88EACA" w14:textId="77777777" w:rsidR="00C8209E" w:rsidRDefault="00C8209E" w:rsidP="00C8209E"/>
    <w:p w14:paraId="32A41D1A" w14:textId="77777777" w:rsidR="00C8209E" w:rsidRDefault="00C8209E" w:rsidP="00C8209E">
      <w:r>
        <w:t>DBP load impacts for each event were obtained by summing the estimated hourly event coefficients from the customer-level regressions. The individual customer models allow the development of information on the distribution of load impacts across industry types and geographical regions, by aggregating customer load impacts for the relevant industry group or local capacity area.</w:t>
      </w:r>
    </w:p>
    <w:p w14:paraId="5CFD407E" w14:textId="77777777" w:rsidR="00C8209E" w:rsidRDefault="00C8209E" w:rsidP="00C8209E">
      <w:pPr>
        <w:pStyle w:val="Heading2"/>
      </w:pPr>
      <w:bookmarkStart w:id="35" w:name="_Toc206570217"/>
      <w:bookmarkStart w:id="36" w:name="_Toc257708584"/>
      <w:bookmarkStart w:id="37" w:name="_Toc289180058"/>
      <w:bookmarkStart w:id="38" w:name="_Toc326224615"/>
      <w:bookmarkStart w:id="39" w:name="_Toc352235830"/>
      <w:bookmarkStart w:id="40" w:name="_Toc383774915"/>
      <w:bookmarkStart w:id="41" w:name="_Toc415761805"/>
      <w:r>
        <w:t xml:space="preserve">ES.3 </w:t>
      </w:r>
      <w:bookmarkEnd w:id="35"/>
      <w:r w:rsidRPr="009F20A2">
        <w:t>Ex-post</w:t>
      </w:r>
      <w:r>
        <w:t xml:space="preserve"> Load Impacts</w:t>
      </w:r>
      <w:bookmarkEnd w:id="36"/>
      <w:bookmarkEnd w:id="37"/>
      <w:bookmarkEnd w:id="38"/>
      <w:bookmarkEnd w:id="39"/>
      <w:bookmarkEnd w:id="40"/>
      <w:bookmarkEnd w:id="41"/>
    </w:p>
    <w:p w14:paraId="7A9FF7A3" w14:textId="77777777" w:rsidR="00C8209E" w:rsidRDefault="00C8209E" w:rsidP="00C8209E">
      <w:r>
        <w:t xml:space="preserve">The total program load impact for PG&amp;E averaged 25 MW, or nearly 4 percent of enrolled load, for system-wide events. Event-specific load impacts ranged from a low of </w:t>
      </w:r>
      <w:r>
        <w:lastRenderedPageBreak/>
        <w:t xml:space="preserve">16 MW to a high of 40 MW. Nearly all of the load impacts were provided by customers dually enrolled in another DR program. This is down from the 36 MW average load impact from the previous program year. </w:t>
      </w:r>
    </w:p>
    <w:p w14:paraId="65EC2E8F" w14:textId="77777777" w:rsidR="00C8209E" w:rsidRDefault="00C8209E" w:rsidP="00C8209E"/>
    <w:p w14:paraId="30C31804" w14:textId="77777777" w:rsidR="00C8209E" w:rsidRDefault="00C8209E" w:rsidP="00C8209E">
      <w:r w:rsidRPr="008E778D">
        <w:t xml:space="preserve">For SCE, average hourly program load impacts averaged approximately </w:t>
      </w:r>
      <w:r>
        <w:t>107</w:t>
      </w:r>
      <w:r w:rsidRPr="008E778D">
        <w:t xml:space="preserve"> MW across </w:t>
      </w:r>
      <w:r>
        <w:t xml:space="preserve">seven </w:t>
      </w:r>
      <w:r w:rsidRPr="008E778D">
        <w:t xml:space="preserve">events, </w:t>
      </w:r>
      <w:r>
        <w:t xml:space="preserve">amounting to </w:t>
      </w:r>
      <w:r w:rsidRPr="008E778D">
        <w:t>1</w:t>
      </w:r>
      <w:r>
        <w:t>3</w:t>
      </w:r>
      <w:r w:rsidRPr="008E778D">
        <w:t xml:space="preserve"> percent of the total reference load. The event-specific load impacts ranged from a low of </w:t>
      </w:r>
      <w:r>
        <w:t>51</w:t>
      </w:r>
      <w:r w:rsidRPr="008E778D">
        <w:t xml:space="preserve"> MW to a high of 1</w:t>
      </w:r>
      <w:r>
        <w:t>43</w:t>
      </w:r>
      <w:r w:rsidRPr="008E778D">
        <w:t xml:space="preserve"> MW.</w:t>
      </w:r>
      <w:r>
        <w:t xml:space="preserve">  </w:t>
      </w:r>
      <w:r w:rsidRPr="00060B4B">
        <w:t xml:space="preserve">  </w:t>
      </w:r>
    </w:p>
    <w:p w14:paraId="4815A783" w14:textId="77777777" w:rsidR="00C8209E" w:rsidRPr="00D64BCE" w:rsidRDefault="00C8209E" w:rsidP="00C8209E">
      <w:pPr>
        <w:pStyle w:val="Heading2"/>
      </w:pPr>
      <w:bookmarkStart w:id="42" w:name="_Toc257708585"/>
      <w:bookmarkStart w:id="43" w:name="_Toc289180059"/>
      <w:bookmarkStart w:id="44" w:name="_Toc326224616"/>
      <w:bookmarkStart w:id="45" w:name="_Toc352235831"/>
      <w:bookmarkStart w:id="46" w:name="_Toc383774916"/>
      <w:bookmarkStart w:id="47" w:name="_Toc415761806"/>
      <w:r w:rsidRPr="00D64BCE">
        <w:t>ES.4 TA/TI and AutoDR Effects</w:t>
      </w:r>
      <w:bookmarkEnd w:id="42"/>
      <w:bookmarkEnd w:id="43"/>
      <w:bookmarkEnd w:id="44"/>
      <w:bookmarkEnd w:id="45"/>
      <w:bookmarkEnd w:id="46"/>
      <w:bookmarkEnd w:id="47"/>
    </w:p>
    <w:p w14:paraId="01C839C4" w14:textId="77777777" w:rsidR="00C8209E" w:rsidRDefault="00C8209E" w:rsidP="00C8209E">
      <w:r w:rsidRPr="00D64BCE">
        <w:t xml:space="preserve">We separately summarized average event-hour load impacts for customers participating in the Technical Assistance and Technology Incentives (TA/TI) program or the Automated Demand Response (AutoDR) program. For PG&amp;E, </w:t>
      </w:r>
      <w:r>
        <w:t xml:space="preserve">one </w:t>
      </w:r>
      <w:r w:rsidRPr="00D64BCE">
        <w:t>TA/TI service account</w:t>
      </w:r>
      <w:r>
        <w:t xml:space="preserve"> participated in each DBP event </w:t>
      </w:r>
      <w:r w:rsidRPr="00D64BCE">
        <w:t xml:space="preserve">and provided an average of </w:t>
      </w:r>
      <w:r>
        <w:t>1.3</w:t>
      </w:r>
      <w:r w:rsidRPr="00D64BCE">
        <w:t xml:space="preserve"> MW of load impacts. </w:t>
      </w:r>
      <w:r>
        <w:t>F</w:t>
      </w:r>
      <w:r w:rsidRPr="00D64BCE">
        <w:t xml:space="preserve">or AutoDR, </w:t>
      </w:r>
      <w:r>
        <w:t xml:space="preserve">an average of 81 DBP service accounts participated, though only about half typically submitted bids. The average hourly load impact for those accounts was 12.9 MW, or 18.4 percent of the reference load.  </w:t>
      </w:r>
      <w:r w:rsidRPr="008E778D">
        <w:t xml:space="preserve">For SCE, </w:t>
      </w:r>
      <w:r>
        <w:t>an average of 173 DBP service accounts participated in TA/TI, with an average of 28 of them submitting a bid during each event. The load impacts from TA/TI participants averaged 7.2 MW, or 9.8 percent of the total reference load (including TA/TI participants that did not submit a bid). Approximately 239 of SCE’s DBP service accounts participated in AutoDR, with an average of 144 submitting bids during each event. Load impacts from these customers averaged 22.5 MW across the seven event days, or 10.8 percent of the total reference load.</w:t>
      </w:r>
    </w:p>
    <w:p w14:paraId="795CBA43" w14:textId="77777777" w:rsidR="00C8209E" w:rsidRDefault="00C8209E" w:rsidP="00C8209E">
      <w:pPr>
        <w:pStyle w:val="Heading2"/>
      </w:pPr>
      <w:bookmarkStart w:id="48" w:name="_Toc289180060"/>
      <w:bookmarkStart w:id="49" w:name="_Toc326224618"/>
      <w:bookmarkStart w:id="50" w:name="_Toc352235833"/>
      <w:bookmarkStart w:id="51" w:name="_Toc383774918"/>
      <w:bookmarkStart w:id="52" w:name="_Toc415761807"/>
      <w:r>
        <w:t xml:space="preserve">ES.5 </w:t>
      </w:r>
      <w:r w:rsidRPr="009F20A2">
        <w:t>Ex-ante</w:t>
      </w:r>
      <w:r>
        <w:t xml:space="preserve"> Load Impacts</w:t>
      </w:r>
      <w:bookmarkEnd w:id="48"/>
      <w:bookmarkEnd w:id="49"/>
      <w:bookmarkEnd w:id="50"/>
      <w:bookmarkEnd w:id="51"/>
      <w:bookmarkEnd w:id="52"/>
    </w:p>
    <w:p w14:paraId="7562A708" w14:textId="77777777" w:rsidR="00C8209E" w:rsidRDefault="00C8209E" w:rsidP="00C8209E">
      <w:r>
        <w:t xml:space="preserve">Scenarios of </w:t>
      </w:r>
      <w:r w:rsidRPr="009F20A2">
        <w:rPr>
          <w:i/>
        </w:rPr>
        <w:t>ex-ante</w:t>
      </w:r>
      <w:r>
        <w:t xml:space="preserve"> load impacts are developed by combining enrollment forecasts with per-customer reference loads and load impacts, which were developed using the data and results of the </w:t>
      </w:r>
      <w:r w:rsidRPr="009F20A2">
        <w:rPr>
          <w:i/>
        </w:rPr>
        <w:t>ex-post</w:t>
      </w:r>
      <w:r>
        <w:t xml:space="preserve"> load impact evaluation.</w:t>
      </w:r>
    </w:p>
    <w:p w14:paraId="64AED710" w14:textId="77777777" w:rsidR="00C8209E" w:rsidRDefault="00C8209E" w:rsidP="00C8209E"/>
    <w:p w14:paraId="227D7614" w14:textId="7ADD1F7D" w:rsidR="00C8209E" w:rsidRDefault="00C8209E" w:rsidP="00C8209E">
      <w:r>
        <w:t xml:space="preserve">PG&amp;E forecasts DBP enrollment to drop slightly to 784 service accounts in 2015 and remain at that level through the 2015 to 2025 forecast period. </w:t>
      </w:r>
      <w:r w:rsidRPr="00977371">
        <w:t xml:space="preserve">SCE forecasts DBP customer enrollment to decrease in </w:t>
      </w:r>
      <w:r>
        <w:t xml:space="preserve">each year from </w:t>
      </w:r>
      <w:r w:rsidRPr="00977371">
        <w:t>201</w:t>
      </w:r>
      <w:r>
        <w:t>5</w:t>
      </w:r>
      <w:r w:rsidRPr="00977371">
        <w:t xml:space="preserve"> </w:t>
      </w:r>
      <w:r>
        <w:t xml:space="preserve">to 2017 </w:t>
      </w:r>
      <w:r w:rsidRPr="00977371">
        <w:t>due to the removal of “non-performing” customers</w:t>
      </w:r>
      <w:r>
        <w:t>, resulting in approximately 900 service accounts in 2015, falling to approximately 700 accounts in 2017</w:t>
      </w:r>
      <w:r w:rsidRPr="00977371">
        <w:t xml:space="preserve">. </w:t>
      </w:r>
      <w:r>
        <w:t xml:space="preserve"> SDG&amp;E forecast enrollment consists of the currently enrolled customers in all forecast years.</w:t>
      </w:r>
    </w:p>
    <w:p w14:paraId="42279B02" w14:textId="77777777" w:rsidR="00C8209E" w:rsidRDefault="00C8209E" w:rsidP="00C8209E"/>
    <w:p w14:paraId="047268FB" w14:textId="100DEA4F" w:rsidR="00C8209E" w:rsidRDefault="00C8209E" w:rsidP="00C8209E">
      <w:r>
        <w:t xml:space="preserve">For </w:t>
      </w:r>
      <w:r w:rsidRPr="00977371">
        <w:t>the 201</w:t>
      </w:r>
      <w:r>
        <w:t>5</w:t>
      </w:r>
      <w:r w:rsidRPr="00977371">
        <w:t xml:space="preserve"> program year, SCE's average event-hour load impact is approximately </w:t>
      </w:r>
      <w:r>
        <w:t xml:space="preserve">110.4 </w:t>
      </w:r>
      <w:r w:rsidRPr="00977371">
        <w:t>MW.</w:t>
      </w:r>
      <w:r>
        <w:t xml:space="preserve"> PG&amp;E's program-level load impacts are forecast to be 32.5 MW during a 1-in-2 August peak day. For both PG&amp;E and SCE, the portfolio-level load impacts are substantially less than the program-level load impacts because of the high level of load response provided by customers dually enrolled in the Base Interruptible Program (BIP) and aggregator programs (</w:t>
      </w:r>
      <w:r w:rsidRPr="00133DBC">
        <w:rPr>
          <w:i/>
        </w:rPr>
        <w:t>e.g</w:t>
      </w:r>
      <w:r>
        <w:t>., the Capacity Bidding Program</w:t>
      </w:r>
      <w:r w:rsidR="0073426C">
        <w:t xml:space="preserve"> or Aggregator Managed </w:t>
      </w:r>
      <w:r w:rsidR="0073426C">
        <w:lastRenderedPageBreak/>
        <w:t>Portfolio</w:t>
      </w:r>
      <w:r>
        <w:t>). For SCE, the portfolio-level load impact is 4.6</w:t>
      </w:r>
      <w:r w:rsidRPr="00977371">
        <w:t xml:space="preserve"> MW in 201</w:t>
      </w:r>
      <w:r>
        <w:t>5. For PG&amp;E, the portfolio-level load impact is 1 MW during a 1-in-2 August peak day.</w:t>
      </w:r>
    </w:p>
    <w:p w14:paraId="76E69303" w14:textId="77777777" w:rsidR="000A02D0" w:rsidRDefault="000A02D0" w:rsidP="00C8209E"/>
    <w:p w14:paraId="34322313" w14:textId="30A72C3E" w:rsidR="00C8209E" w:rsidRDefault="00C8209E" w:rsidP="00C8209E">
      <w:r>
        <w:t>Figures ES.</w:t>
      </w:r>
      <w:r w:rsidR="000A02D0">
        <w:t>1</w:t>
      </w:r>
      <w:r>
        <w:t xml:space="preserve"> and ES.</w:t>
      </w:r>
      <w:r w:rsidR="000A02D0">
        <w:t>2</w:t>
      </w:r>
      <w:r>
        <w:t xml:space="preserve"> show </w:t>
      </w:r>
      <w:r w:rsidRPr="009F20A2">
        <w:rPr>
          <w:i/>
        </w:rPr>
        <w:t>ex-ante</w:t>
      </w:r>
      <w:r>
        <w:t xml:space="preserve"> load impacts for 2015 for PG&amp;E and SCE, respectively, indicating large differences between </w:t>
      </w:r>
      <w:r w:rsidRPr="007401D3">
        <w:rPr>
          <w:i/>
        </w:rPr>
        <w:t>program-level</w:t>
      </w:r>
      <w:r>
        <w:t xml:space="preserve"> load impacts (which include all customers enrolled in DBP) and </w:t>
      </w:r>
      <w:r w:rsidRPr="007401D3">
        <w:rPr>
          <w:i/>
        </w:rPr>
        <w:t>portfolio-level</w:t>
      </w:r>
      <w:r>
        <w:t xml:space="preserve"> load impacts (which exclude customers dually enrolled in the Base Interruptible Program, or BIP and aggregator programs, including the Capacity Bidding Program), and smaller differences between weather scenarios. </w:t>
      </w:r>
    </w:p>
    <w:p w14:paraId="02786B18" w14:textId="77777777" w:rsidR="00C8209E" w:rsidRDefault="00C8209E" w:rsidP="00C8209E"/>
    <w:p w14:paraId="60B12D5E" w14:textId="2AA66AB7" w:rsidR="00C8209E" w:rsidRPr="0097115E" w:rsidRDefault="00C8209E" w:rsidP="00C8209E">
      <w:pPr>
        <w:pStyle w:val="FigureCaption"/>
        <w:keepNext/>
        <w:keepLines/>
      </w:pPr>
      <w:bookmarkStart w:id="53" w:name="_Toc289180142"/>
      <w:bookmarkStart w:id="54" w:name="_Toc326224711"/>
      <w:bookmarkStart w:id="55" w:name="_Toc352235939"/>
      <w:bookmarkStart w:id="56" w:name="_Toc383775052"/>
      <w:bookmarkStart w:id="57" w:name="_Toc415761911"/>
      <w:r w:rsidRPr="0097115E">
        <w:t>Figure ES.</w:t>
      </w:r>
      <w:r w:rsidR="000A02D0">
        <w:t>1</w:t>
      </w:r>
      <w:r w:rsidRPr="0097115E">
        <w:t xml:space="preserve">: Average </w:t>
      </w:r>
      <w:r>
        <w:t xml:space="preserve">August </w:t>
      </w:r>
      <w:r w:rsidRPr="009F20A2">
        <w:rPr>
          <w:i/>
        </w:rPr>
        <w:t>Ex-ante</w:t>
      </w:r>
      <w:r w:rsidRPr="0097115E">
        <w:t xml:space="preserve"> Load Impacts by Scenario, </w:t>
      </w:r>
      <w:bookmarkEnd w:id="53"/>
      <w:r w:rsidRPr="0097115E">
        <w:rPr>
          <w:i/>
        </w:rPr>
        <w:t>PG&amp;E</w:t>
      </w:r>
      <w:bookmarkEnd w:id="54"/>
      <w:bookmarkEnd w:id="55"/>
      <w:bookmarkEnd w:id="56"/>
      <w:bookmarkEnd w:id="57"/>
    </w:p>
    <w:p w14:paraId="08264B17" w14:textId="77777777" w:rsidR="00C8209E" w:rsidRDefault="00C8209E" w:rsidP="00C8209E">
      <w:pPr>
        <w:keepNext/>
        <w:keepLines/>
      </w:pPr>
      <w:r w:rsidRPr="007401D3">
        <w:rPr>
          <w:noProof/>
        </w:rPr>
        <w:drawing>
          <wp:inline distT="0" distB="0" distL="0" distR="0" wp14:anchorId="3D71CAC3" wp14:editId="517C6372">
            <wp:extent cx="5476875" cy="3981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6875" cy="3981450"/>
                    </a:xfrm>
                    <a:prstGeom prst="rect">
                      <a:avLst/>
                    </a:prstGeom>
                    <a:noFill/>
                    <a:ln>
                      <a:noFill/>
                    </a:ln>
                  </pic:spPr>
                </pic:pic>
              </a:graphicData>
            </a:graphic>
          </wp:inline>
        </w:drawing>
      </w:r>
    </w:p>
    <w:p w14:paraId="401B76F7" w14:textId="77777777" w:rsidR="00C8209E" w:rsidRDefault="00C8209E" w:rsidP="00C8209E">
      <w:bookmarkStart w:id="58" w:name="_Toc289180143"/>
      <w:bookmarkStart w:id="59" w:name="_Toc326224712"/>
      <w:bookmarkStart w:id="60" w:name="_Toc352235940"/>
    </w:p>
    <w:p w14:paraId="78AFB1C0" w14:textId="5DC294BC" w:rsidR="00C8209E" w:rsidRPr="0097115E" w:rsidRDefault="00C8209E" w:rsidP="00C8209E">
      <w:pPr>
        <w:pStyle w:val="FigureCaption"/>
        <w:keepNext/>
        <w:keepLines/>
      </w:pPr>
      <w:bookmarkStart w:id="61" w:name="_Toc383775053"/>
      <w:bookmarkStart w:id="62" w:name="_Toc415761912"/>
      <w:r w:rsidRPr="00DD49B6">
        <w:lastRenderedPageBreak/>
        <w:t>Figure ES.</w:t>
      </w:r>
      <w:r w:rsidR="000A02D0">
        <w:t>2</w:t>
      </w:r>
      <w:r w:rsidRPr="00DD49B6">
        <w:t xml:space="preserve">: </w:t>
      </w:r>
      <w:bookmarkEnd w:id="58"/>
      <w:r w:rsidRPr="00DD49B6">
        <w:t xml:space="preserve">Average </w:t>
      </w:r>
      <w:r>
        <w:t xml:space="preserve">August </w:t>
      </w:r>
      <w:r w:rsidRPr="009F20A2">
        <w:rPr>
          <w:i/>
        </w:rPr>
        <w:t>Ex-ante</w:t>
      </w:r>
      <w:r w:rsidRPr="00DD49B6">
        <w:t xml:space="preserve"> Load Impacts by Year and Scenario, </w:t>
      </w:r>
      <w:r w:rsidRPr="00DD49B6">
        <w:rPr>
          <w:i/>
        </w:rPr>
        <w:t>SCE</w:t>
      </w:r>
      <w:bookmarkEnd w:id="59"/>
      <w:bookmarkEnd w:id="60"/>
      <w:bookmarkEnd w:id="61"/>
      <w:bookmarkEnd w:id="62"/>
    </w:p>
    <w:p w14:paraId="074312A8" w14:textId="77777777" w:rsidR="00C8209E" w:rsidRPr="00214534" w:rsidRDefault="00C8209E" w:rsidP="00C8209E">
      <w:pPr>
        <w:keepNext/>
        <w:keepLines/>
      </w:pPr>
      <w:r w:rsidRPr="007401D3">
        <w:rPr>
          <w:noProof/>
        </w:rPr>
        <w:drawing>
          <wp:inline distT="0" distB="0" distL="0" distR="0" wp14:anchorId="2BFFE6A1" wp14:editId="133F7CA4">
            <wp:extent cx="5476875" cy="39814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6875" cy="3981450"/>
                    </a:xfrm>
                    <a:prstGeom prst="rect">
                      <a:avLst/>
                    </a:prstGeom>
                    <a:noFill/>
                    <a:ln>
                      <a:noFill/>
                    </a:ln>
                  </pic:spPr>
                </pic:pic>
              </a:graphicData>
            </a:graphic>
          </wp:inline>
        </w:drawing>
      </w:r>
    </w:p>
    <w:p w14:paraId="332F6CE8" w14:textId="77777777" w:rsidR="00C8209E" w:rsidRDefault="00C8209E" w:rsidP="00C8209E"/>
    <w:p w14:paraId="52D3BE8B" w14:textId="35C4FC4C" w:rsidR="00214534" w:rsidRPr="00214534" w:rsidRDefault="00214534" w:rsidP="00DD49B6">
      <w:pPr>
        <w:keepNext/>
        <w:keepLines/>
      </w:pPr>
    </w:p>
    <w:p w14:paraId="2041C2E0" w14:textId="77777777" w:rsidR="00321E09" w:rsidRDefault="00321E09" w:rsidP="00C8209E">
      <w:pPr>
        <w:pStyle w:val="Heading1"/>
      </w:pPr>
      <w:r>
        <w:br w:type="page"/>
      </w:r>
      <w:bookmarkStart w:id="63" w:name="_Toc415761808"/>
      <w:r w:rsidRPr="00C8209E">
        <w:lastRenderedPageBreak/>
        <w:t>1. Introduction and Purpose of the Study</w:t>
      </w:r>
      <w:bookmarkEnd w:id="63"/>
    </w:p>
    <w:p w14:paraId="15DDBFD4" w14:textId="15F058F6" w:rsidR="00321E09" w:rsidRDefault="00321E09" w:rsidP="00053AAD">
      <w:r>
        <w:t xml:space="preserve">This report documents </w:t>
      </w:r>
      <w:r w:rsidR="00933F01" w:rsidRPr="00933F01">
        <w:rPr>
          <w:i/>
        </w:rPr>
        <w:t>ex-post</w:t>
      </w:r>
      <w:r>
        <w:t xml:space="preserve"> </w:t>
      </w:r>
      <w:r w:rsidR="00186A8C">
        <w:t xml:space="preserve">and </w:t>
      </w:r>
      <w:r w:rsidR="00933F01" w:rsidRPr="00933F01">
        <w:rPr>
          <w:i/>
        </w:rPr>
        <w:t>ex-ante</w:t>
      </w:r>
      <w:r w:rsidR="00186A8C">
        <w:t xml:space="preserve"> </w:t>
      </w:r>
      <w:r>
        <w:t>load impact evaluations for the statewide Demand Bidding Program (“DBP”) in place at Pacific Gas and Electric Company (“PG&amp;E”)</w:t>
      </w:r>
      <w:r w:rsidR="000B3C39">
        <w:t xml:space="preserve">, </w:t>
      </w:r>
      <w:r>
        <w:t>Southern California Edison (“SCE”)</w:t>
      </w:r>
      <w:r w:rsidR="000B3C39">
        <w:t>, and San Diego Gas and Electric Company (“SDG&amp;E”)</w:t>
      </w:r>
      <w:r>
        <w:t xml:space="preserve"> in 201</w:t>
      </w:r>
      <w:r w:rsidR="007B05B9">
        <w:t>4</w:t>
      </w:r>
      <w:r>
        <w:t xml:space="preserve">. The report provides estimates of </w:t>
      </w:r>
      <w:r w:rsidR="00933F01" w:rsidRPr="00933F01">
        <w:rPr>
          <w:i/>
        </w:rPr>
        <w:t>ex-post</w:t>
      </w:r>
      <w:r>
        <w:t xml:space="preserve"> load impacts that occurred during events called in 201</w:t>
      </w:r>
      <w:r w:rsidR="007B05B9">
        <w:t>4</w:t>
      </w:r>
      <w:r w:rsidR="00C4613B">
        <w:t xml:space="preserve"> and </w:t>
      </w:r>
      <w:r>
        <w:t xml:space="preserve">an </w:t>
      </w:r>
      <w:r w:rsidR="00933F01" w:rsidRPr="00933F01">
        <w:rPr>
          <w:i/>
        </w:rPr>
        <w:t>ex-ante</w:t>
      </w:r>
      <w:r>
        <w:t xml:space="preserve"> forecast of load impacts for 201</w:t>
      </w:r>
      <w:r w:rsidR="007B05B9">
        <w:t>5</w:t>
      </w:r>
      <w:r>
        <w:t xml:space="preserve"> through 202</w:t>
      </w:r>
      <w:r w:rsidR="007B05B9">
        <w:t>5</w:t>
      </w:r>
      <w:r>
        <w:t xml:space="preserve"> that is based on </w:t>
      </w:r>
      <w:r w:rsidR="00BE7AE9">
        <w:t xml:space="preserve">the IOU’s </w:t>
      </w:r>
      <w:r>
        <w:t xml:space="preserve">enrollment forecasts and the </w:t>
      </w:r>
      <w:r w:rsidR="00933F01" w:rsidRPr="00933F01">
        <w:rPr>
          <w:i/>
        </w:rPr>
        <w:t>ex-post</w:t>
      </w:r>
      <w:r>
        <w:t xml:space="preserve"> load impacts estimated for </w:t>
      </w:r>
      <w:r w:rsidR="00467BD7">
        <w:t>program years 20</w:t>
      </w:r>
      <w:r w:rsidR="000B3C39">
        <w:t>1</w:t>
      </w:r>
      <w:r w:rsidR="007B05B9">
        <w:t>2</w:t>
      </w:r>
      <w:r w:rsidR="00467BD7">
        <w:t xml:space="preserve"> through </w:t>
      </w:r>
      <w:r>
        <w:t>201</w:t>
      </w:r>
      <w:r w:rsidR="007B05B9">
        <w:t>4</w:t>
      </w:r>
      <w:r>
        <w:t>.</w:t>
      </w:r>
      <w:r w:rsidR="00186A8C">
        <w:t xml:space="preserve"> </w:t>
      </w:r>
    </w:p>
    <w:p w14:paraId="7714E12F" w14:textId="77777777" w:rsidR="005A13A1" w:rsidRDefault="005A13A1" w:rsidP="00053AAD"/>
    <w:p w14:paraId="4097844A" w14:textId="77777777" w:rsidR="00321E09" w:rsidRDefault="00321E09" w:rsidP="003601DE">
      <w:pPr>
        <w:spacing w:after="240"/>
      </w:pPr>
      <w:r>
        <w:t>The primary research questions addressed by this evaluation are:</w:t>
      </w:r>
    </w:p>
    <w:p w14:paraId="0FBAD644" w14:textId="5C7457E4" w:rsidR="00321E09" w:rsidRDefault="00321E09" w:rsidP="004C60FB">
      <w:pPr>
        <w:numPr>
          <w:ilvl w:val="0"/>
          <w:numId w:val="9"/>
        </w:numPr>
      </w:pPr>
      <w:r>
        <w:t>What were the DBP load impacts in 201</w:t>
      </w:r>
      <w:r w:rsidR="007B05B9">
        <w:t>4</w:t>
      </w:r>
      <w:r>
        <w:t>?</w:t>
      </w:r>
    </w:p>
    <w:p w14:paraId="0DBA97D8" w14:textId="77777777" w:rsidR="00321E09" w:rsidRDefault="00321E09" w:rsidP="004C60FB">
      <w:pPr>
        <w:numPr>
          <w:ilvl w:val="0"/>
          <w:numId w:val="9"/>
        </w:numPr>
      </w:pPr>
      <w:r>
        <w:t>How were the load impacts distributed across industry groups?</w:t>
      </w:r>
    </w:p>
    <w:p w14:paraId="4A5FE23B" w14:textId="77777777" w:rsidR="00321E09" w:rsidRDefault="00321E09" w:rsidP="004C60FB">
      <w:pPr>
        <w:numPr>
          <w:ilvl w:val="0"/>
          <w:numId w:val="9"/>
        </w:numPr>
      </w:pPr>
      <w:r>
        <w:t>How were the load impacts distributed across CAISO local capacity areas?</w:t>
      </w:r>
    </w:p>
    <w:p w14:paraId="5B76C414" w14:textId="77777777" w:rsidR="00321E09" w:rsidRDefault="00321E09" w:rsidP="004C60FB">
      <w:pPr>
        <w:numPr>
          <w:ilvl w:val="0"/>
          <w:numId w:val="9"/>
        </w:numPr>
      </w:pPr>
      <w:r>
        <w:t>What were the effects of TA/TI and AutoDR on customer-level load impacts?</w:t>
      </w:r>
    </w:p>
    <w:p w14:paraId="06FF1F56" w14:textId="2B74EA0C" w:rsidR="00C4613B" w:rsidRDefault="00C4613B" w:rsidP="004C60FB">
      <w:pPr>
        <w:numPr>
          <w:ilvl w:val="0"/>
          <w:numId w:val="9"/>
        </w:numPr>
      </w:pPr>
      <w:r>
        <w:t xml:space="preserve">What are the </w:t>
      </w:r>
      <w:r w:rsidR="00933F01" w:rsidRPr="00933F01">
        <w:rPr>
          <w:i/>
        </w:rPr>
        <w:t>ex-ante</w:t>
      </w:r>
      <w:r>
        <w:t xml:space="preserve"> load impacts for 201</w:t>
      </w:r>
      <w:r w:rsidR="007B05B9">
        <w:t>5</w:t>
      </w:r>
      <w:r>
        <w:t xml:space="preserve"> through 202</w:t>
      </w:r>
      <w:r w:rsidR="007B05B9">
        <w:t>5</w:t>
      </w:r>
      <w:r>
        <w:t>?</w:t>
      </w:r>
    </w:p>
    <w:p w14:paraId="0461D095" w14:textId="77777777" w:rsidR="00321E09" w:rsidRDefault="00321E09" w:rsidP="00681C96"/>
    <w:p w14:paraId="378B894B" w14:textId="100BE3D1" w:rsidR="00321E09" w:rsidRDefault="00321E09" w:rsidP="00681C96">
      <w:r w:rsidRPr="00DD49B6">
        <w:t>The report is organized as follows</w:t>
      </w:r>
      <w:r w:rsidR="00E71344">
        <w:t>:</w:t>
      </w:r>
      <w:r w:rsidRPr="00DD49B6">
        <w:t xml:space="preserve"> Section 2 contains a description of the programs, the enrolled customers, and the events called; Section 3 describes the methods used in the study; Section 4 contains the detailed </w:t>
      </w:r>
      <w:r w:rsidR="00933F01" w:rsidRPr="00933F01">
        <w:rPr>
          <w:i/>
        </w:rPr>
        <w:t>ex-post</w:t>
      </w:r>
      <w:r w:rsidRPr="00DD49B6">
        <w:t xml:space="preserve"> load impact results, including estimates of TA/TI and AutoDR </w:t>
      </w:r>
      <w:r w:rsidR="007B36F7" w:rsidRPr="00DD49B6">
        <w:t xml:space="preserve">customer </w:t>
      </w:r>
      <w:r w:rsidRPr="00DD49B6">
        <w:t xml:space="preserve">load impacts; </w:t>
      </w:r>
      <w:r w:rsidR="00047B5B" w:rsidRPr="00DD49B6">
        <w:t xml:space="preserve">Section </w:t>
      </w:r>
      <w:r w:rsidR="007B05B9">
        <w:t>5</w:t>
      </w:r>
      <w:r w:rsidR="00047B5B" w:rsidRPr="00DD49B6">
        <w:t xml:space="preserve"> describes the </w:t>
      </w:r>
      <w:r w:rsidR="00933F01" w:rsidRPr="00933F01">
        <w:rPr>
          <w:i/>
        </w:rPr>
        <w:t>ex-ante</w:t>
      </w:r>
      <w:r w:rsidR="00047B5B" w:rsidRPr="00DD49B6">
        <w:t xml:space="preserve"> load impact forecast</w:t>
      </w:r>
      <w:r w:rsidR="00197099" w:rsidRPr="00DD49B6">
        <w:t>;</w:t>
      </w:r>
      <w:r w:rsidR="00047B5B" w:rsidRPr="00DD49B6">
        <w:t xml:space="preserve"> </w:t>
      </w:r>
      <w:r w:rsidR="00DD49B6" w:rsidRPr="00DD49B6">
        <w:t xml:space="preserve">Section </w:t>
      </w:r>
      <w:r w:rsidR="007B05B9">
        <w:t>6</w:t>
      </w:r>
      <w:r w:rsidR="00DD49B6" w:rsidRPr="00DD49B6">
        <w:t xml:space="preserve"> contains descriptions of differences in various scenarios of </w:t>
      </w:r>
      <w:r w:rsidR="00933F01" w:rsidRPr="00933F01">
        <w:rPr>
          <w:i/>
        </w:rPr>
        <w:t>ex-post</w:t>
      </w:r>
      <w:r w:rsidR="00DD49B6" w:rsidRPr="00DD49B6">
        <w:t xml:space="preserve"> and </w:t>
      </w:r>
      <w:r w:rsidR="00933F01" w:rsidRPr="00933F01">
        <w:rPr>
          <w:i/>
        </w:rPr>
        <w:t>ex-ante</w:t>
      </w:r>
      <w:r w:rsidR="00DD49B6" w:rsidRPr="00DD49B6">
        <w:t xml:space="preserve"> load impacts;</w:t>
      </w:r>
      <w:r w:rsidRPr="00DD49B6">
        <w:t xml:space="preserve"> </w:t>
      </w:r>
      <w:r w:rsidR="00002762">
        <w:t xml:space="preserve">and </w:t>
      </w:r>
      <w:r w:rsidRPr="00DD49B6">
        <w:t xml:space="preserve">Section </w:t>
      </w:r>
      <w:r w:rsidR="007B05B9">
        <w:t>7</w:t>
      </w:r>
      <w:r w:rsidRPr="00DD49B6">
        <w:t xml:space="preserve"> provides recommendations.</w:t>
      </w:r>
      <w:r w:rsidRPr="009068D9">
        <w:t xml:space="preserve"> </w:t>
      </w:r>
      <w:r w:rsidR="00002762">
        <w:t xml:space="preserve">Appendix A </w:t>
      </w:r>
      <w:r w:rsidR="00002762" w:rsidRPr="00DD49B6">
        <w:t>contains an assessment of the validity of the study</w:t>
      </w:r>
      <w:r w:rsidR="00002762">
        <w:t>.</w:t>
      </w:r>
      <w:r w:rsidRPr="009068D9">
        <w:t xml:space="preserve"> </w:t>
      </w:r>
    </w:p>
    <w:p w14:paraId="7F1EDFAE" w14:textId="77777777" w:rsidR="00321E09" w:rsidRDefault="00321E09" w:rsidP="00751406">
      <w:pPr>
        <w:pStyle w:val="Heading1"/>
      </w:pPr>
      <w:bookmarkStart w:id="64" w:name="_Toc415761809"/>
      <w:r>
        <w:t>2. Description of Resources Covered in the Study</w:t>
      </w:r>
      <w:bookmarkEnd w:id="64"/>
    </w:p>
    <w:p w14:paraId="1461B3BA" w14:textId="24DD8FC2" w:rsidR="007B05B9" w:rsidRDefault="00321E09" w:rsidP="008943AD">
      <w:r>
        <w:t xml:space="preserve">This section provides details on the Demand Bidding Programs, including the </w:t>
      </w:r>
      <w:r w:rsidR="00E71344">
        <w:t>incentives</w:t>
      </w:r>
      <w:r>
        <w:t xml:space="preserve"> paid, the characteristics of the participants enrolled in the programs, and the events called in 201</w:t>
      </w:r>
      <w:r w:rsidR="007B05B9">
        <w:t>4</w:t>
      </w:r>
      <w:r>
        <w:t>.</w:t>
      </w:r>
    </w:p>
    <w:p w14:paraId="3D29730D" w14:textId="77777777" w:rsidR="00321E09" w:rsidRPr="00146E50" w:rsidRDefault="00321E09" w:rsidP="00751406">
      <w:pPr>
        <w:pStyle w:val="Heading2"/>
      </w:pPr>
      <w:bookmarkStart w:id="65" w:name="_Toc415761810"/>
      <w:r>
        <w:t>2</w:t>
      </w:r>
      <w:r w:rsidRPr="00146E50">
        <w:t>.1 Program Description</w:t>
      </w:r>
      <w:r>
        <w:t>s</w:t>
      </w:r>
      <w:bookmarkEnd w:id="65"/>
    </w:p>
    <w:p w14:paraId="7A2F8180" w14:textId="2C44F315" w:rsidR="001629ED" w:rsidRDefault="00E71344" w:rsidP="00B43905">
      <w:r>
        <w:t xml:space="preserve">The </w:t>
      </w:r>
      <w:r w:rsidR="00467BD7">
        <w:t>DBP is a voluntary bidding program that offers qualified participants the opportunity to re</w:t>
      </w:r>
      <w:r w:rsidR="005B42F9">
        <w:t xml:space="preserve">ceive </w:t>
      </w:r>
      <w:r>
        <w:t>incentive payments</w:t>
      </w:r>
      <w:r w:rsidR="005B42F9">
        <w:t xml:space="preserve"> for reducing</w:t>
      </w:r>
      <w:r w:rsidR="00F576F1">
        <w:t xml:space="preserve"> their</w:t>
      </w:r>
      <w:r w:rsidR="00BE7AE9">
        <w:t xml:space="preserve"> energy </w:t>
      </w:r>
      <w:r w:rsidR="00F576F1">
        <w:t>us</w:t>
      </w:r>
      <w:r>
        <w:t>age</w:t>
      </w:r>
      <w:r w:rsidR="00F576F1">
        <w:t xml:space="preserve"> </w:t>
      </w:r>
      <w:r w:rsidR="00467BD7">
        <w:t>when a</w:t>
      </w:r>
      <w:r>
        <w:t>n</w:t>
      </w:r>
      <w:r w:rsidR="00467BD7">
        <w:t xml:space="preserve"> event is triggered. First approved in CPUC D.01-07-025, modifications have been made to the program, including changes made for the 2006-2008 program cycle</w:t>
      </w:r>
      <w:r w:rsidR="00F576F1">
        <w:t>,</w:t>
      </w:r>
      <w:r w:rsidR="00467BD7">
        <w:t xml:space="preserve"> at the direction of the CPUC in D.05-01-056. In that decision, the </w:t>
      </w:r>
      <w:r w:rsidR="00BE7AE9">
        <w:t>IOUs</w:t>
      </w:r>
      <w:r w:rsidR="00467BD7">
        <w:t xml:space="preserve"> were directed to continue th</w:t>
      </w:r>
      <w:r w:rsidR="00BE7AE9">
        <w:t>e</w:t>
      </w:r>
      <w:r w:rsidR="00467BD7">
        <w:t xml:space="preserve"> </w:t>
      </w:r>
      <w:r>
        <w:t>DBPs</w:t>
      </w:r>
      <w:r w:rsidR="00BE7AE9">
        <w:t>.</w:t>
      </w:r>
      <w:r w:rsidR="001629ED">
        <w:t xml:space="preserve"> In addition, a new SDG&amp;E DBP was authorized by resolution E-4511 on July 17, 2012 in response to the fact that S</w:t>
      </w:r>
      <w:r>
        <w:t xml:space="preserve">an </w:t>
      </w:r>
      <w:r w:rsidR="001629ED">
        <w:t>O</w:t>
      </w:r>
      <w:r>
        <w:t xml:space="preserve">nofre </w:t>
      </w:r>
      <w:r w:rsidR="001629ED">
        <w:t>N</w:t>
      </w:r>
      <w:r>
        <w:t xml:space="preserve">uclear </w:t>
      </w:r>
      <w:r w:rsidR="001629ED">
        <w:t>G</w:t>
      </w:r>
      <w:r>
        <w:t xml:space="preserve">enerating </w:t>
      </w:r>
      <w:r w:rsidR="001629ED">
        <w:t>S</w:t>
      </w:r>
      <w:r>
        <w:t>tation</w:t>
      </w:r>
      <w:r w:rsidR="001629ED">
        <w:t xml:space="preserve"> Unit 3 is offline. </w:t>
      </w:r>
    </w:p>
    <w:p w14:paraId="0B880C28" w14:textId="77777777" w:rsidR="001629ED" w:rsidRDefault="001629ED" w:rsidP="00B43905"/>
    <w:p w14:paraId="7D47095C" w14:textId="2AE02D22" w:rsidR="00467BD7" w:rsidRDefault="00E71344" w:rsidP="00B43905">
      <w:r>
        <w:t xml:space="preserve">The </w:t>
      </w:r>
      <w:r w:rsidR="00467BD7">
        <w:t>D</w:t>
      </w:r>
      <w:r w:rsidR="00296733">
        <w:t>B</w:t>
      </w:r>
      <w:r w:rsidR="00467BD7">
        <w:t>P</w:t>
      </w:r>
      <w:r w:rsidR="00BE7AE9">
        <w:t xml:space="preserve"> is </w:t>
      </w:r>
      <w:r w:rsidR="00467BD7">
        <w:t>designed for non-residential bundled service</w:t>
      </w:r>
      <w:r>
        <w:t>, Community Choice Aggregation, and Direct Access (“DA”) customers</w:t>
      </w:r>
      <w:r w:rsidR="00467BD7">
        <w:t xml:space="preserve">. Customers must have internet access and communicating interval metering </w:t>
      </w:r>
      <w:r>
        <w:t xml:space="preserve">or SmartMeter™ </w:t>
      </w:r>
      <w:r w:rsidR="00467BD7">
        <w:t xml:space="preserve">approved by each of the </w:t>
      </w:r>
      <w:r w:rsidR="00BE7AE9">
        <w:t>IOUs</w:t>
      </w:r>
      <w:r w:rsidR="00467BD7">
        <w:t xml:space="preserve">. A </w:t>
      </w:r>
      <w:r w:rsidR="00467BD7">
        <w:lastRenderedPageBreak/>
        <w:t xml:space="preserve">DBP event may occur at any time throughout the year. </w:t>
      </w:r>
      <w:r w:rsidR="00645180">
        <w:t xml:space="preserve">At PG&amp;E and SCE, </w:t>
      </w:r>
      <w:r w:rsidR="000B4FFE">
        <w:t>D</w:t>
      </w:r>
      <w:r w:rsidR="000B4FFE" w:rsidRPr="000E20AC">
        <w:t>BP customers may</w:t>
      </w:r>
      <w:r w:rsidR="000B4FFE" w:rsidRPr="00470F93">
        <w:t xml:space="preserve"> participate in another demand response </w:t>
      </w:r>
      <w:r w:rsidR="000B4FFE" w:rsidRPr="00514D45">
        <w:t>(DR) program, but that DR program must be a capacity-paying program with same day notification (e.g., Base Interruptible Program</w:t>
      </w:r>
      <w:r w:rsidR="00BE7AE9">
        <w:t xml:space="preserve"> or Capacity Bidding </w:t>
      </w:r>
      <w:r w:rsidR="00F576F1">
        <w:t>Program</w:t>
      </w:r>
      <w:r w:rsidR="000B4FFE" w:rsidRPr="00514D45">
        <w:t xml:space="preserve">). </w:t>
      </w:r>
      <w:r w:rsidR="000B4FFE">
        <w:t xml:space="preserve">For </w:t>
      </w:r>
      <w:r w:rsidR="000B4FFE" w:rsidRPr="00132116">
        <w:t xml:space="preserve">simultaneous or overlapping events, the dual-participants receive payment for the capacity-paying program and not for the simultaneous hours of </w:t>
      </w:r>
      <w:r w:rsidR="00BE7AE9">
        <w:t xml:space="preserve">the </w:t>
      </w:r>
      <w:r w:rsidR="000B4FFE" w:rsidRPr="00132116">
        <w:t>DBP</w:t>
      </w:r>
      <w:r w:rsidR="00BE7AE9">
        <w:t xml:space="preserve"> event</w:t>
      </w:r>
      <w:r w:rsidR="000B4FFE" w:rsidRPr="00132116">
        <w:t xml:space="preserve">. </w:t>
      </w:r>
    </w:p>
    <w:p w14:paraId="293EFC6B" w14:textId="77777777" w:rsidR="00321E09" w:rsidRPr="004F7CDA" w:rsidRDefault="00321E09" w:rsidP="00B43905">
      <w:pPr>
        <w:pStyle w:val="Heading3"/>
      </w:pPr>
      <w:bookmarkStart w:id="66" w:name="_Toc248733671"/>
      <w:bookmarkStart w:id="67" w:name="_Toc415761811"/>
      <w:r w:rsidRPr="004F7CDA">
        <w:t>PG&amp;E’s D</w:t>
      </w:r>
      <w:r w:rsidR="002870B7">
        <w:t>emand Bidding</w:t>
      </w:r>
      <w:r w:rsidRPr="004F7CDA">
        <w:t xml:space="preserve"> Program</w:t>
      </w:r>
      <w:bookmarkEnd w:id="66"/>
      <w:bookmarkEnd w:id="67"/>
    </w:p>
    <w:p w14:paraId="70666138" w14:textId="50E404BF" w:rsidR="00321E09" w:rsidRPr="00A66B39" w:rsidRDefault="00321E09" w:rsidP="00B43905">
      <w:bookmarkStart w:id="68" w:name="_Toc248733672"/>
      <w:r w:rsidRPr="00A66B39">
        <w:t>PG&amp;E</w:t>
      </w:r>
      <w:r w:rsidR="00E71344">
        <w:t xml:space="preserve">’s </w:t>
      </w:r>
      <w:r w:rsidRPr="00A66B39">
        <w:t xml:space="preserve">DBP is available to time-of-use customers with billed maximum demands of </w:t>
      </w:r>
      <w:r w:rsidR="00BE7AE9">
        <w:t>5</w:t>
      </w:r>
      <w:r w:rsidRPr="00A66B39">
        <w:t xml:space="preserve">0 kW or higher who commit to reduce load by a minimum of </w:t>
      </w:r>
      <w:r w:rsidR="00BE7AE9">
        <w:t>1</w:t>
      </w:r>
      <w:r w:rsidRPr="00A66B39">
        <w:t>0 kW for two consecutive hours during a</w:t>
      </w:r>
      <w:r w:rsidR="00E71344">
        <w:t>n</w:t>
      </w:r>
      <w:r w:rsidRPr="00A66B39">
        <w:t xml:space="preserve"> event. Eligible customers must have an interval meter </w:t>
      </w:r>
      <w:r w:rsidR="00E71344">
        <w:t xml:space="preserve">or SmartMeter™ capable of recording usage in 15-minute or shorter intervals and read remotely by PG&amp;E. </w:t>
      </w:r>
      <w:r w:rsidR="00E71344" w:rsidRPr="00A66B39">
        <w:t xml:space="preserve">PG&amp;E </w:t>
      </w:r>
      <w:r w:rsidR="00E71344">
        <w:t>will</w:t>
      </w:r>
      <w:r w:rsidR="00E71344" w:rsidRPr="00A66B39">
        <w:t xml:space="preserve"> </w:t>
      </w:r>
      <w:r w:rsidR="00E71344">
        <w:t xml:space="preserve">provide and install the metering and communication equipment at no cost to the customers with </w:t>
      </w:r>
      <w:r w:rsidR="00E71344" w:rsidRPr="00C0217F">
        <w:rPr>
          <w:szCs w:val="18"/>
        </w:rPr>
        <w:t xml:space="preserve">a maximum demand of 200 kW or greater for </w:t>
      </w:r>
      <w:r w:rsidR="00E71344">
        <w:rPr>
          <w:szCs w:val="18"/>
        </w:rPr>
        <w:t xml:space="preserve">at least one month </w:t>
      </w:r>
      <w:r w:rsidR="00E71344" w:rsidRPr="00C0217F">
        <w:rPr>
          <w:szCs w:val="18"/>
        </w:rPr>
        <w:t>in the past 12 billing months</w:t>
      </w:r>
      <w:r w:rsidR="00E71344" w:rsidRPr="00A66B39">
        <w:t xml:space="preserve">, except for </w:t>
      </w:r>
      <w:r w:rsidR="00E71344">
        <w:t>DA</w:t>
      </w:r>
      <w:r w:rsidR="00E71344" w:rsidRPr="00A66B39">
        <w:t xml:space="preserve"> customers. </w:t>
      </w:r>
      <w:r w:rsidR="00E71344">
        <w:t>In the past, customers were allowed to aggregate service accounts for bidding and settlement purposes, but this is no longer allowed as of December 31, 2014.</w:t>
      </w:r>
      <w:r w:rsidR="00645180">
        <w:t xml:space="preserve"> Some aggregated customers remain in the 2014 program year, however. </w:t>
      </w:r>
    </w:p>
    <w:p w14:paraId="22ACA512" w14:textId="77777777" w:rsidR="00321E09" w:rsidRPr="00A66B39" w:rsidRDefault="00321E09" w:rsidP="00B43905"/>
    <w:p w14:paraId="5445639A" w14:textId="11D23310" w:rsidR="00321E09" w:rsidRPr="00A66B39" w:rsidRDefault="00CB01AA" w:rsidP="00B43905">
      <w:r w:rsidRPr="00A66B39">
        <w:t xml:space="preserve">The DBP </w:t>
      </w:r>
      <w:r w:rsidR="00BE7AE9">
        <w:t>o</w:t>
      </w:r>
      <w:r w:rsidRPr="00A66B39">
        <w:t xml:space="preserve">perates year-round and can be called from </w:t>
      </w:r>
      <w:r w:rsidR="00E71344">
        <w:t>12</w:t>
      </w:r>
      <w:r w:rsidRPr="00A66B39">
        <w:t xml:space="preserve">:00 </w:t>
      </w:r>
      <w:r w:rsidR="00E71344">
        <w:t>p</w:t>
      </w:r>
      <w:r w:rsidRPr="00A66B39">
        <w:t xml:space="preserve">.m. to </w:t>
      </w:r>
      <w:r w:rsidR="00E71344">
        <w:t>8</w:t>
      </w:r>
      <w:r w:rsidRPr="00A66B39">
        <w:t>:00 p.m. on weekdays, excluding holidays.</w:t>
      </w:r>
      <w:r w:rsidR="00E71344">
        <w:rPr>
          <w:rStyle w:val="FootnoteReference"/>
        </w:rPr>
        <w:footnoteReference w:id="1"/>
      </w:r>
      <w:r w:rsidRPr="00A66B39">
        <w:t xml:space="preserve"> There is no limit to the number of days on which events may be called. Notification of an event day is provided on a day-ahead basis. </w:t>
      </w:r>
      <w:r>
        <w:t>E</w:t>
      </w:r>
      <w:r w:rsidRPr="00A66B39">
        <w:t xml:space="preserve">vents are triggered with a California ISO Alert Notice for the following day when the peak demand forecast is 43,000 MW or greater, or when PG&amp;E, in its own opinion, forecasts that resources may not be </w:t>
      </w:r>
      <w:r>
        <w:t>sufficient</w:t>
      </w:r>
      <w:r w:rsidR="00CA1C67">
        <w:t>,</w:t>
      </w:r>
      <w:r>
        <w:t xml:space="preserve"> </w:t>
      </w:r>
      <w:r w:rsidR="00CA1C67">
        <w:rPr>
          <w:szCs w:val="18"/>
        </w:rPr>
        <w:t>forecasted temperature for a Load Zone exceeds the temperature threshold for that Load Zone,</w:t>
      </w:r>
      <w:r w:rsidR="00CA1C67">
        <w:t xml:space="preserve"> or to address </w:t>
      </w:r>
      <w:r w:rsidR="00CA1C67">
        <w:rPr>
          <w:szCs w:val="18"/>
        </w:rPr>
        <w:t>a transmission or distribution reliability need</w:t>
      </w:r>
      <w:r w:rsidR="00CA1C67" w:rsidRPr="00A66B39">
        <w:t xml:space="preserve">. PG&amp;E may also </w:t>
      </w:r>
      <w:r w:rsidR="00CA1C67">
        <w:t>call</w:t>
      </w:r>
      <w:r w:rsidR="00CA1C67" w:rsidRPr="00A66B39">
        <w:t xml:space="preserve"> up to two D</w:t>
      </w:r>
      <w:r w:rsidR="00CA1C67">
        <w:t xml:space="preserve">emand </w:t>
      </w:r>
      <w:r w:rsidR="00CA1C67" w:rsidRPr="00A66B39">
        <w:t>B</w:t>
      </w:r>
      <w:r w:rsidR="00CA1C67">
        <w:t>idding</w:t>
      </w:r>
      <w:r w:rsidR="00CA1C67" w:rsidRPr="00A66B39">
        <w:t xml:space="preserve"> test events</w:t>
      </w:r>
      <w:r w:rsidR="00CA1C67">
        <w:t xml:space="preserve"> per customer, per year</w:t>
      </w:r>
      <w:r w:rsidR="00CA1C67" w:rsidRPr="00A66B39">
        <w:t xml:space="preserve">. When an event is </w:t>
      </w:r>
      <w:r w:rsidR="00CA1C67">
        <w:t>dispatched</w:t>
      </w:r>
      <w:r w:rsidR="00CA1C67" w:rsidRPr="00A66B39">
        <w:t xml:space="preserve">, enrolled customers may </w:t>
      </w:r>
      <w:r w:rsidR="00CA1C67">
        <w:t>submit</w:t>
      </w:r>
      <w:r w:rsidR="00CA1C67" w:rsidRPr="00A66B39">
        <w:t xml:space="preserve"> a load reduction</w:t>
      </w:r>
      <w:r w:rsidR="00CA1C67">
        <w:t xml:space="preserve"> bid </w:t>
      </w:r>
      <w:r w:rsidR="00CA1C67" w:rsidRPr="00A66B39">
        <w:t>or not participate</w:t>
      </w:r>
      <w:r w:rsidR="00CA1C67">
        <w:t xml:space="preserve"> without an excess energy charge</w:t>
      </w:r>
      <w:r w:rsidR="00CA1C67" w:rsidRPr="00A66B39">
        <w:t>.</w:t>
      </w:r>
    </w:p>
    <w:p w14:paraId="050AF067" w14:textId="77777777" w:rsidR="00321E09" w:rsidRDefault="00321E09" w:rsidP="00B43905"/>
    <w:p w14:paraId="0FB550A6" w14:textId="1EAF5F30" w:rsidR="00321E09" w:rsidRPr="00E0273B" w:rsidRDefault="0059342F" w:rsidP="00B43905">
      <w:r>
        <w:t>T</w:t>
      </w:r>
      <w:r w:rsidR="00321E09">
        <w:t xml:space="preserve">he incentive payment is $0.50 per kWh reduced below </w:t>
      </w:r>
      <w:r w:rsidR="00CA1C67">
        <w:t>the 10-in-10</w:t>
      </w:r>
      <w:r w:rsidR="00321E09">
        <w:t xml:space="preserve"> baseline. Customers must reduce load by a minimum of 50 percent of their bid amount to qualify for a</w:t>
      </w:r>
      <w:r w:rsidR="00CA1C67">
        <w:t>n incentive</w:t>
      </w:r>
      <w:r w:rsidR="00321E09">
        <w:t xml:space="preserve">, and they are paid for load reductions up to 150 percent of their bid amount. The hourly baseline for </w:t>
      </w:r>
      <w:r w:rsidR="00F576F1">
        <w:t xml:space="preserve">measuring </w:t>
      </w:r>
      <w:r w:rsidR="00321E09">
        <w:t xml:space="preserve">load reductions is calculated as the average usage from the </w:t>
      </w:r>
      <w:r w:rsidR="00370C78">
        <w:t xml:space="preserve">corresponding hour on the </w:t>
      </w:r>
      <w:r w:rsidR="00321E09">
        <w:t xml:space="preserve">previous ten qualifying days (non-holiday, non-event weekdays), with the customer having the option to include a day-of adjustment based on their usage in pre-event hours. There is no </w:t>
      </w:r>
      <w:r w:rsidR="00BE7AE9">
        <w:t>charge</w:t>
      </w:r>
      <w:r w:rsidR="00321E09">
        <w:t xml:space="preserve"> for failing to comply with the terms of the submitted bid. </w:t>
      </w:r>
      <w:r w:rsidR="00321E09" w:rsidRPr="00E0273B">
        <w:t xml:space="preserve">Each bid must be </w:t>
      </w:r>
      <w:r w:rsidR="00F576F1">
        <w:t xml:space="preserve">for </w:t>
      </w:r>
      <w:r w:rsidR="00321E09" w:rsidRPr="00E0273B">
        <w:t xml:space="preserve">a minimum of two consecutive hours during the </w:t>
      </w:r>
      <w:r w:rsidR="00321E09">
        <w:t xml:space="preserve">event. </w:t>
      </w:r>
      <w:r w:rsidR="00321E09" w:rsidRPr="00E0273B">
        <w:t>Bid</w:t>
      </w:r>
      <w:r w:rsidR="00321E09">
        <w:t>s</w:t>
      </w:r>
      <w:r w:rsidR="00321E09" w:rsidRPr="00E0273B">
        <w:t xml:space="preserve"> must meet the threshold of </w:t>
      </w:r>
      <w:r w:rsidR="00BE7AE9">
        <w:t>1</w:t>
      </w:r>
      <w:r w:rsidR="00321E09" w:rsidRPr="00E0273B">
        <w:t>0</w:t>
      </w:r>
      <w:r w:rsidR="00321E09">
        <w:t xml:space="preserve"> </w:t>
      </w:r>
      <w:r w:rsidR="00321E09" w:rsidRPr="00E0273B">
        <w:t xml:space="preserve">kW </w:t>
      </w:r>
      <w:r w:rsidR="00F576F1">
        <w:t xml:space="preserve">load reductions </w:t>
      </w:r>
      <w:r w:rsidR="00321E09" w:rsidRPr="00E0273B">
        <w:t>for each hour</w:t>
      </w:r>
      <w:r w:rsidR="00321E09">
        <w:t xml:space="preserve"> and customers may submit o</w:t>
      </w:r>
      <w:r w:rsidR="00321E09" w:rsidRPr="00E0273B">
        <w:t xml:space="preserve">nly one bid for each </w:t>
      </w:r>
      <w:r w:rsidR="00321E09">
        <w:t>e</w:t>
      </w:r>
      <w:r w:rsidR="00321E09" w:rsidRPr="00E0273B">
        <w:t>vent notification.</w:t>
      </w:r>
    </w:p>
    <w:p w14:paraId="39E3B0BE" w14:textId="77777777" w:rsidR="00321E09" w:rsidRDefault="00321E09" w:rsidP="00B43905"/>
    <w:p w14:paraId="6F004AF4" w14:textId="48E3776C" w:rsidR="00321E09" w:rsidRDefault="00321E09" w:rsidP="00B43905">
      <w:r>
        <w:t xml:space="preserve">Although PG&amp;E customers enrolled in </w:t>
      </w:r>
      <w:r w:rsidR="00CA1C67">
        <w:t xml:space="preserve">the </w:t>
      </w:r>
      <w:r>
        <w:t xml:space="preserve">DBP may participate in other DR programs (Day-of notice in </w:t>
      </w:r>
      <w:r w:rsidR="00A93963">
        <w:t xml:space="preserve">AMP, </w:t>
      </w:r>
      <w:r>
        <w:t xml:space="preserve">CBP, BIP, and OBMC), they do not receive a day-ahead DBP incentive payment for those hours in which a day-of event from another DR program in which the customer is enrolled occur simultaneously. </w:t>
      </w:r>
    </w:p>
    <w:p w14:paraId="79485BFD" w14:textId="77777777" w:rsidR="00321E09" w:rsidRPr="004F7CDA" w:rsidRDefault="00321E09" w:rsidP="00B43905">
      <w:pPr>
        <w:pStyle w:val="Heading3"/>
      </w:pPr>
      <w:bookmarkStart w:id="69" w:name="_Toc248733670"/>
      <w:bookmarkStart w:id="70" w:name="_Toc415761812"/>
      <w:r w:rsidRPr="004F7CDA">
        <w:t xml:space="preserve">SCE’s </w:t>
      </w:r>
      <w:bookmarkEnd w:id="69"/>
      <w:r w:rsidR="002870B7" w:rsidRPr="004F7CDA">
        <w:t>D</w:t>
      </w:r>
      <w:r w:rsidR="002870B7">
        <w:t>emand Bidding</w:t>
      </w:r>
      <w:r w:rsidR="002870B7" w:rsidRPr="004F7CDA">
        <w:t xml:space="preserve"> Program</w:t>
      </w:r>
      <w:bookmarkEnd w:id="70"/>
    </w:p>
    <w:p w14:paraId="67FDE1BC" w14:textId="57F85018" w:rsidR="00321E09" w:rsidRDefault="00321E09" w:rsidP="00B43905">
      <w:r>
        <w:t>SCE’s DBP design is similar to PG&amp;E’s, with t</w:t>
      </w:r>
      <w:r w:rsidR="00645180">
        <w:t>hree</w:t>
      </w:r>
      <w:r>
        <w:t xml:space="preserve"> exceptions: enrolled customers are required to commit to a minimum load reduction of </w:t>
      </w:r>
      <w:r w:rsidR="00E040A6">
        <w:t>1</w:t>
      </w:r>
      <w:r>
        <w:t xml:space="preserve"> kW (versus </w:t>
      </w:r>
      <w:r w:rsidR="00E040A6">
        <w:t>1</w:t>
      </w:r>
      <w:r>
        <w:t>0 kW at PG&amp;E); bidding customers are paid for load reductions up to twice their bid amount</w:t>
      </w:r>
      <w:r w:rsidR="00645180">
        <w:t>; and event hours are limited to 12:00 p.m. through 8:00 p.m.</w:t>
      </w:r>
      <w:r>
        <w:t xml:space="preserve"> DBP participants may also participate in </w:t>
      </w:r>
      <w:r w:rsidR="001629ED">
        <w:t xml:space="preserve">AP-I, </w:t>
      </w:r>
      <w:r>
        <w:t>BIP</w:t>
      </w:r>
      <w:r w:rsidR="001629ED">
        <w:t xml:space="preserve">, SDP, </w:t>
      </w:r>
      <w:r w:rsidR="00645180">
        <w:t xml:space="preserve">CBP, </w:t>
      </w:r>
      <w:r w:rsidR="001629ED">
        <w:t xml:space="preserve">or </w:t>
      </w:r>
      <w:r w:rsidR="008A1120">
        <w:t>AMP (</w:t>
      </w:r>
      <w:r w:rsidR="00E040A6">
        <w:t xml:space="preserve">formerly </w:t>
      </w:r>
      <w:r w:rsidR="001629ED">
        <w:t>DRC</w:t>
      </w:r>
      <w:r w:rsidR="008A1120">
        <w:t>)</w:t>
      </w:r>
      <w:r w:rsidR="001629ED">
        <w:t>.</w:t>
      </w:r>
      <w:r>
        <w:t xml:space="preserve"> However, the customer will not receive DBP incentive payments during overlapping event hours. </w:t>
      </w:r>
    </w:p>
    <w:p w14:paraId="11C9C7A2" w14:textId="77777777" w:rsidR="00321E09" w:rsidRPr="004F7CDA" w:rsidRDefault="00321E09" w:rsidP="00B43905">
      <w:pPr>
        <w:pStyle w:val="Heading3"/>
      </w:pPr>
      <w:bookmarkStart w:id="71" w:name="_Toc415761813"/>
      <w:r w:rsidRPr="004F7CDA">
        <w:t xml:space="preserve">SDG&amp;E’s </w:t>
      </w:r>
      <w:bookmarkEnd w:id="68"/>
      <w:r w:rsidR="002870B7" w:rsidRPr="004F7CDA">
        <w:t>D</w:t>
      </w:r>
      <w:r w:rsidR="002870B7">
        <w:t>emand Bidding</w:t>
      </w:r>
      <w:r w:rsidR="002870B7" w:rsidRPr="004F7CDA">
        <w:t xml:space="preserve"> Program</w:t>
      </w:r>
      <w:bookmarkEnd w:id="71"/>
    </w:p>
    <w:p w14:paraId="0F4D2F74" w14:textId="15EEA090" w:rsidR="00D34F39" w:rsidRPr="009A32A4" w:rsidRDefault="00D34F39" w:rsidP="00D34F39">
      <w:r w:rsidRPr="009A32A4">
        <w:t>SDG&amp;E has two DBP programs</w:t>
      </w:r>
      <w:r w:rsidR="009A32A4">
        <w:t>, as</w:t>
      </w:r>
      <w:r w:rsidRPr="009A32A4">
        <w:t xml:space="preserve"> described below:</w:t>
      </w:r>
    </w:p>
    <w:p w14:paraId="1F222D6A" w14:textId="413FC227" w:rsidR="00D34F39" w:rsidRPr="009A32A4" w:rsidRDefault="00D34F39" w:rsidP="00D34F39">
      <w:r w:rsidRPr="009A32A4">
        <w:t>Schedule DBP-DA: Schedule DBP-DA provides day-ahead notice of event days.  The DBP-DA</w:t>
      </w:r>
      <w:r w:rsidR="009A32A4">
        <w:t xml:space="preserve"> i</w:t>
      </w:r>
      <w:r w:rsidRPr="009A32A4">
        <w:t xml:space="preserve">ncentive is $0.40 per kWh for customers who purchase commodity from the </w:t>
      </w:r>
      <w:r w:rsidR="009A32A4">
        <w:t>u</w:t>
      </w:r>
      <w:r w:rsidRPr="009A32A4">
        <w:t>tility (bundled customers).</w:t>
      </w:r>
    </w:p>
    <w:p w14:paraId="7D34FECA" w14:textId="77777777" w:rsidR="00D34F39" w:rsidRPr="009A32A4" w:rsidRDefault="00D34F39" w:rsidP="00D34F39"/>
    <w:p w14:paraId="751F8FEE" w14:textId="69D194A4" w:rsidR="00D34F39" w:rsidRPr="009A32A4" w:rsidRDefault="00D34F39" w:rsidP="00D34F39">
      <w:r w:rsidRPr="009A32A4">
        <w:t xml:space="preserve">Schedule DBP-DO: </w:t>
      </w:r>
      <w:r w:rsidR="00D051DC">
        <w:t>A d</w:t>
      </w:r>
      <w:r w:rsidRPr="009A32A4">
        <w:t>emand/energy bidding program that offers incentives to non</w:t>
      </w:r>
      <w:r w:rsidR="009A32A4">
        <w:t>-</w:t>
      </w:r>
      <w:r w:rsidRPr="009A32A4">
        <w:t xml:space="preserve">residential customers for reducing energy consumption and demand during a specific Demand Bidding </w:t>
      </w:r>
      <w:r w:rsidR="00D051DC">
        <w:t>e</w:t>
      </w:r>
      <w:r w:rsidRPr="009A32A4">
        <w:t xml:space="preserve">vent. This program is applicable to customers who are capable of providing at least a 5 MW load reduction based on the customer’s specific baseline. The DBP-DA </w:t>
      </w:r>
      <w:r w:rsidR="00D051DC">
        <w:t>i</w:t>
      </w:r>
      <w:r w:rsidRPr="009A32A4">
        <w:t xml:space="preserve">ncentive is $0.50 per kWh for customers who purchase commodity from the </w:t>
      </w:r>
      <w:r w:rsidR="009A32A4">
        <w:t>u</w:t>
      </w:r>
      <w:r w:rsidRPr="009A32A4">
        <w:t xml:space="preserve">tility (bundled customers). </w:t>
      </w:r>
    </w:p>
    <w:p w14:paraId="56E183BD" w14:textId="77777777" w:rsidR="00D34F39" w:rsidRPr="00D34F39" w:rsidRDefault="00D34F39" w:rsidP="00D34F39">
      <w:pPr>
        <w:rPr>
          <w:color w:val="0000FF"/>
        </w:rPr>
      </w:pPr>
    </w:p>
    <w:p w14:paraId="2487C141" w14:textId="1476C4FE" w:rsidR="00D34F39" w:rsidRPr="009A32A4" w:rsidRDefault="00D34F39" w:rsidP="00D34F39">
      <w:r w:rsidRPr="009A32A4">
        <w:t xml:space="preserve">Schedule DBP-DO and DBP-DA programs are available year-round and </w:t>
      </w:r>
      <w:r w:rsidR="00D051DC">
        <w:t>have</w:t>
      </w:r>
      <w:r w:rsidRPr="009A32A4">
        <w:t xml:space="preserve"> no limit to the number of Demand Bidding </w:t>
      </w:r>
      <w:r w:rsidR="00D051DC">
        <w:t>e</w:t>
      </w:r>
      <w:r w:rsidRPr="009A32A4">
        <w:t xml:space="preserve">vents per month or year. A customer may not participate simultaneously in DBP-DA or DBP-DO and any other </w:t>
      </w:r>
      <w:r w:rsidR="00D051DC">
        <w:t>DR</w:t>
      </w:r>
      <w:r w:rsidRPr="009A32A4">
        <w:t xml:space="preserve"> rate or program.</w:t>
      </w:r>
    </w:p>
    <w:p w14:paraId="070D9B0E" w14:textId="77777777" w:rsidR="00321E09" w:rsidRDefault="00321E09" w:rsidP="00751406">
      <w:pPr>
        <w:pStyle w:val="Heading2"/>
      </w:pPr>
      <w:bookmarkStart w:id="72" w:name="_Toc415761814"/>
      <w:r>
        <w:t>2.2 Participant Characteristics</w:t>
      </w:r>
      <w:bookmarkEnd w:id="72"/>
    </w:p>
    <w:p w14:paraId="300223A8" w14:textId="77777777" w:rsidR="00321E09" w:rsidRPr="00146E50" w:rsidRDefault="00321E09" w:rsidP="00751406">
      <w:pPr>
        <w:pStyle w:val="Heading3"/>
        <w:rPr>
          <w:sz w:val="22"/>
          <w:szCs w:val="22"/>
        </w:rPr>
      </w:pPr>
      <w:bookmarkStart w:id="73" w:name="_Toc415761815"/>
      <w:r>
        <w:rPr>
          <w:sz w:val="22"/>
          <w:szCs w:val="22"/>
        </w:rPr>
        <w:t>2</w:t>
      </w:r>
      <w:r w:rsidRPr="00146E50">
        <w:rPr>
          <w:sz w:val="22"/>
          <w:szCs w:val="22"/>
        </w:rPr>
        <w:t>.2.1 Development of Customer Groups</w:t>
      </w:r>
      <w:bookmarkEnd w:id="73"/>
    </w:p>
    <w:p w14:paraId="5D1EA704" w14:textId="77777777" w:rsidR="00321E09" w:rsidRDefault="00321E09" w:rsidP="00751406">
      <w:bookmarkStart w:id="74" w:name="OLE_LINK29"/>
      <w:r>
        <w:t xml:space="preserve">In order to assess differences in load impacts across customer types, the program participants were categorized according to eight industry types. The industry groups are defined according to their applicable two-digit </w:t>
      </w:r>
      <w:r w:rsidR="00BB1058">
        <w:t>North American Industry Classification System (</w:t>
      </w:r>
      <w:r>
        <w:t>NAICS</w:t>
      </w:r>
      <w:r w:rsidR="00BB1058">
        <w:t>)</w:t>
      </w:r>
      <w:r>
        <w:t xml:space="preserve"> codes:</w:t>
      </w:r>
    </w:p>
    <w:p w14:paraId="7BFA2D20" w14:textId="77777777" w:rsidR="00321E09" w:rsidRDefault="00321E09" w:rsidP="00751406"/>
    <w:p w14:paraId="47A21B50" w14:textId="77777777" w:rsidR="00321E09" w:rsidRDefault="00321E09" w:rsidP="004C60FB">
      <w:pPr>
        <w:numPr>
          <w:ilvl w:val="0"/>
          <w:numId w:val="2"/>
        </w:numPr>
      </w:pPr>
      <w:r>
        <w:t>Agriculture, Mining and Oil and Gas, Construction: 11, 21, 23</w:t>
      </w:r>
    </w:p>
    <w:p w14:paraId="30FE9B1D" w14:textId="77777777" w:rsidR="00321E09" w:rsidRDefault="00321E09" w:rsidP="004C60FB">
      <w:pPr>
        <w:numPr>
          <w:ilvl w:val="0"/>
          <w:numId w:val="2"/>
        </w:numPr>
      </w:pPr>
      <w:r>
        <w:t>Manufacturing: 31-33</w:t>
      </w:r>
    </w:p>
    <w:p w14:paraId="32917337" w14:textId="77777777" w:rsidR="00321E09" w:rsidRDefault="00321E09" w:rsidP="004C60FB">
      <w:pPr>
        <w:numPr>
          <w:ilvl w:val="0"/>
          <w:numId w:val="2"/>
        </w:numPr>
      </w:pPr>
      <w:r>
        <w:t>Wholesale, Transport, other Utilities: 22, 42, 48-49</w:t>
      </w:r>
    </w:p>
    <w:p w14:paraId="10FDC9FE" w14:textId="77777777" w:rsidR="00321E09" w:rsidRDefault="00321E09" w:rsidP="004C60FB">
      <w:pPr>
        <w:numPr>
          <w:ilvl w:val="0"/>
          <w:numId w:val="2"/>
        </w:numPr>
      </w:pPr>
      <w:r>
        <w:t>Retail stores: 44-45</w:t>
      </w:r>
    </w:p>
    <w:p w14:paraId="733AD3E9" w14:textId="77777777" w:rsidR="00321E09" w:rsidRDefault="00321E09" w:rsidP="004C60FB">
      <w:pPr>
        <w:numPr>
          <w:ilvl w:val="0"/>
          <w:numId w:val="2"/>
        </w:numPr>
      </w:pPr>
      <w:r>
        <w:t>Offices, Hotels, Finance, Services: 51-56, 62, 72</w:t>
      </w:r>
    </w:p>
    <w:p w14:paraId="32E08C27" w14:textId="77777777" w:rsidR="00321E09" w:rsidRDefault="00321E09" w:rsidP="004C60FB">
      <w:pPr>
        <w:numPr>
          <w:ilvl w:val="0"/>
          <w:numId w:val="2"/>
        </w:numPr>
      </w:pPr>
      <w:r>
        <w:lastRenderedPageBreak/>
        <w:t>Schools: 61</w:t>
      </w:r>
    </w:p>
    <w:p w14:paraId="6B6D8D68" w14:textId="77777777" w:rsidR="00321E09" w:rsidRDefault="00321E09" w:rsidP="004C60FB">
      <w:pPr>
        <w:numPr>
          <w:ilvl w:val="0"/>
          <w:numId w:val="2"/>
        </w:numPr>
      </w:pPr>
      <w:r>
        <w:t>Entertainment, Other services and Government: 71, 81, 92</w:t>
      </w:r>
    </w:p>
    <w:p w14:paraId="64D6B56E" w14:textId="77777777" w:rsidR="00321E09" w:rsidRDefault="00321E09" w:rsidP="004C60FB">
      <w:pPr>
        <w:numPr>
          <w:ilvl w:val="0"/>
          <w:numId w:val="2"/>
        </w:numPr>
      </w:pPr>
      <w:r>
        <w:t>Other or unknown.</w:t>
      </w:r>
    </w:p>
    <w:p w14:paraId="1BFB3779" w14:textId="77777777" w:rsidR="00321E09" w:rsidRDefault="00321E09" w:rsidP="00751406"/>
    <w:p w14:paraId="0F8BCFC3" w14:textId="77777777" w:rsidR="00321E09" w:rsidRDefault="00321E09" w:rsidP="00751406">
      <w:r>
        <w:t>In addition, each utility provided information regarding the CAISO Local Capacity Area (LCA) in which the customer resides (if any).</w:t>
      </w:r>
      <w:r w:rsidRPr="008A3E42">
        <w:rPr>
          <w:rStyle w:val="FootnoteReference"/>
        </w:rPr>
        <w:footnoteReference w:id="2"/>
      </w:r>
      <w:r>
        <w:t xml:space="preserve"> </w:t>
      </w:r>
      <w:r w:rsidR="00893572">
        <w:t>Note that while we report load impacts by LCA as required by the Protocols, PG&amp;E’s DBP was recently modified to allow for locational dispatch, where the locations are determined by sub-LAP.</w:t>
      </w:r>
      <w:r w:rsidR="00893572">
        <w:rPr>
          <w:rStyle w:val="FootnoteReference"/>
        </w:rPr>
        <w:footnoteReference w:id="3"/>
      </w:r>
      <w:r w:rsidR="00893572">
        <w:t xml:space="preserve">  </w:t>
      </w:r>
      <w:bookmarkEnd w:id="74"/>
    </w:p>
    <w:p w14:paraId="01AE252A" w14:textId="77777777" w:rsidR="00321E09" w:rsidRPr="00146E50" w:rsidRDefault="00321E09" w:rsidP="00751406">
      <w:pPr>
        <w:pStyle w:val="Heading3"/>
        <w:rPr>
          <w:sz w:val="22"/>
          <w:szCs w:val="22"/>
        </w:rPr>
      </w:pPr>
      <w:bookmarkStart w:id="75" w:name="_Toc415761816"/>
      <w:r>
        <w:rPr>
          <w:sz w:val="22"/>
          <w:szCs w:val="22"/>
        </w:rPr>
        <w:t>2</w:t>
      </w:r>
      <w:r w:rsidRPr="00146E50">
        <w:rPr>
          <w:sz w:val="22"/>
          <w:szCs w:val="22"/>
        </w:rPr>
        <w:t>.2.</w:t>
      </w:r>
      <w:r>
        <w:rPr>
          <w:sz w:val="22"/>
          <w:szCs w:val="22"/>
        </w:rPr>
        <w:t>2</w:t>
      </w:r>
      <w:r w:rsidRPr="00146E50">
        <w:rPr>
          <w:sz w:val="22"/>
          <w:szCs w:val="22"/>
        </w:rPr>
        <w:t xml:space="preserve"> </w:t>
      </w:r>
      <w:r>
        <w:rPr>
          <w:sz w:val="22"/>
          <w:szCs w:val="22"/>
        </w:rPr>
        <w:t>Program Participants by Type</w:t>
      </w:r>
      <w:bookmarkEnd w:id="75"/>
    </w:p>
    <w:p w14:paraId="10D46E03" w14:textId="38FE2607" w:rsidR="00321E09" w:rsidRDefault="00321E09" w:rsidP="005839AE">
      <w:r>
        <w:t>The following sets of tables summarize the characteristics of the participating customer accounts, including size, industry type, and LCA. Table 2.1 shows DBP enrollment by industry group for PG&amp;E</w:t>
      </w:r>
      <w:r w:rsidR="00742A4F">
        <w:t xml:space="preserve"> on the average event day</w:t>
      </w:r>
      <w:r>
        <w:t xml:space="preserve">. </w:t>
      </w:r>
      <w:r w:rsidRPr="002C31CE">
        <w:t xml:space="preserve">Enrollment in PG&amp;E’s DBP </w:t>
      </w:r>
      <w:r w:rsidR="009012D7">
        <w:t>dec</w:t>
      </w:r>
      <w:r w:rsidR="00B2345B">
        <w:t xml:space="preserve">reased </w:t>
      </w:r>
      <w:r w:rsidR="009012D7">
        <w:t>relative to PY201</w:t>
      </w:r>
      <w:r w:rsidR="00BF0B77">
        <w:t>3</w:t>
      </w:r>
      <w:r w:rsidR="009012D7">
        <w:t xml:space="preserve">, </w:t>
      </w:r>
      <w:r w:rsidR="00B2345B">
        <w:t>from</w:t>
      </w:r>
      <w:r w:rsidR="00BF0B77">
        <w:t xml:space="preserve"> 952 to 846</w:t>
      </w:r>
      <w:r w:rsidR="00E16D29">
        <w:t xml:space="preserve"> in</w:t>
      </w:r>
      <w:r w:rsidR="00B2345B">
        <w:t xml:space="preserve"> 201</w:t>
      </w:r>
      <w:r w:rsidR="00BF0B77">
        <w:t>4</w:t>
      </w:r>
      <w:r w:rsidRPr="002C31CE">
        <w:t>.</w:t>
      </w:r>
      <w:r w:rsidR="009C08A8">
        <w:rPr>
          <w:rStyle w:val="FootnoteReference"/>
        </w:rPr>
        <w:footnoteReference w:id="4"/>
      </w:r>
      <w:r w:rsidRPr="002C31CE">
        <w:t xml:space="preserve"> </w:t>
      </w:r>
      <w:r w:rsidR="000B4FFE">
        <w:t>T</w:t>
      </w:r>
      <w:r w:rsidRPr="002C31CE">
        <w:t xml:space="preserve">he sum of enrolled customers’ </w:t>
      </w:r>
      <w:r w:rsidR="009D06AF">
        <w:t>coincident</w:t>
      </w:r>
      <w:r w:rsidRPr="002C31CE">
        <w:t xml:space="preserve"> maximum demands</w:t>
      </w:r>
      <w:r w:rsidRPr="008A3E42">
        <w:rPr>
          <w:rStyle w:val="FootnoteReference"/>
        </w:rPr>
        <w:footnoteReference w:id="5"/>
      </w:r>
      <w:r w:rsidRPr="002C31CE">
        <w:t xml:space="preserve"> </w:t>
      </w:r>
      <w:r w:rsidR="009012D7">
        <w:t xml:space="preserve">was </w:t>
      </w:r>
      <w:r w:rsidR="00BF0B77">
        <w:t>673</w:t>
      </w:r>
      <w:r>
        <w:t xml:space="preserve"> MW, </w:t>
      </w:r>
      <w:r w:rsidR="009D06AF">
        <w:t xml:space="preserve">or </w:t>
      </w:r>
      <w:r w:rsidR="009012D7">
        <w:t>0.</w:t>
      </w:r>
      <w:r w:rsidR="00BF0B77">
        <w:t>8</w:t>
      </w:r>
      <w:r w:rsidR="008225AA">
        <w:t>0</w:t>
      </w:r>
      <w:r w:rsidR="009012D7">
        <w:t xml:space="preserve"> </w:t>
      </w:r>
      <w:r w:rsidRPr="009D06AF">
        <w:t xml:space="preserve">MW </w:t>
      </w:r>
      <w:r w:rsidR="006A00FD" w:rsidRPr="009D06AF">
        <w:t xml:space="preserve">for the average </w:t>
      </w:r>
      <w:r w:rsidR="009D06AF">
        <w:t>service account</w:t>
      </w:r>
      <w:r w:rsidRPr="009D06AF">
        <w:t>.</w:t>
      </w:r>
      <w:r w:rsidRPr="002C31CE">
        <w:t xml:space="preserve"> T</w:t>
      </w:r>
      <w:r w:rsidR="00C06BAC">
        <w:t xml:space="preserve">wo industry groups made up approximately half of PG&amp;E’s DBP enrollment: </w:t>
      </w:r>
      <w:r w:rsidRPr="002C31CE">
        <w:t>manufacturing</w:t>
      </w:r>
      <w:r w:rsidR="00C06BAC">
        <w:t>;</w:t>
      </w:r>
      <w:r w:rsidRPr="002C31CE">
        <w:t xml:space="preserve"> and </w:t>
      </w:r>
      <w:r w:rsidR="00C06BAC">
        <w:t>o</w:t>
      </w:r>
      <w:r w:rsidR="00C06BAC" w:rsidRPr="00C06BAC">
        <w:t xml:space="preserve">ffices, </w:t>
      </w:r>
      <w:r w:rsidR="00C06BAC">
        <w:t>h</w:t>
      </w:r>
      <w:r w:rsidR="00C06BAC" w:rsidRPr="00C06BAC">
        <w:t xml:space="preserve">otels, </w:t>
      </w:r>
      <w:r w:rsidR="00D051DC">
        <w:t>health</w:t>
      </w:r>
      <w:r w:rsidR="00C06BAC" w:rsidRPr="00C06BAC">
        <w:t xml:space="preserve">, </w:t>
      </w:r>
      <w:r w:rsidR="00C06BAC">
        <w:t>s</w:t>
      </w:r>
      <w:r w:rsidR="00C06BAC" w:rsidRPr="00C06BAC">
        <w:t>ervices</w:t>
      </w:r>
      <w:r w:rsidR="00C06BAC">
        <w:t>.</w:t>
      </w:r>
      <w:r w:rsidR="009F7CB1">
        <w:t xml:space="preserve"> </w:t>
      </w:r>
      <w:r w:rsidR="00A54F76">
        <w:t xml:space="preserve">Note that some </w:t>
      </w:r>
      <w:r w:rsidR="00A54F76" w:rsidRPr="00C749DA">
        <w:t>results have been removed due to confidentiality concerns.</w:t>
      </w:r>
      <w:r w:rsidR="00A54F76">
        <w:t xml:space="preserve"> </w:t>
      </w:r>
    </w:p>
    <w:p w14:paraId="408D33F2" w14:textId="77777777" w:rsidR="007C28F4" w:rsidRDefault="007C28F4" w:rsidP="007C28F4"/>
    <w:p w14:paraId="040EA701" w14:textId="77777777" w:rsidR="007C28F4" w:rsidRPr="00852320" w:rsidRDefault="007C28F4" w:rsidP="007C28F4">
      <w:pPr>
        <w:pStyle w:val="TableCaption"/>
        <w:keepNext/>
        <w:keepLines/>
      </w:pPr>
      <w:bookmarkStart w:id="76" w:name="_Toc415761866"/>
      <w:r w:rsidRPr="00852320">
        <w:lastRenderedPageBreak/>
        <w:t xml:space="preserve">Table 2.1: DBP Enrollees by Industry Group, </w:t>
      </w:r>
      <w:r w:rsidRPr="00852320">
        <w:rPr>
          <w:i/>
        </w:rPr>
        <w:t>PG&amp;E</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1791"/>
        <w:gridCol w:w="1307"/>
        <w:gridCol w:w="1184"/>
        <w:gridCol w:w="1158"/>
      </w:tblGrid>
      <w:tr w:rsidR="007C28F4" w14:paraId="245E4783" w14:textId="77777777" w:rsidTr="0005199B">
        <w:tc>
          <w:tcPr>
            <w:tcW w:w="0" w:type="auto"/>
            <w:shd w:val="clear" w:color="auto" w:fill="D9E2F3"/>
            <w:vAlign w:val="center"/>
          </w:tcPr>
          <w:p w14:paraId="41298DE8"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Industry Type</w:t>
            </w:r>
          </w:p>
        </w:tc>
        <w:tc>
          <w:tcPr>
            <w:tcW w:w="0" w:type="auto"/>
            <w:shd w:val="clear" w:color="auto" w:fill="D9E2F3"/>
            <w:vAlign w:val="center"/>
          </w:tcPr>
          <w:p w14:paraId="7235CE20" w14:textId="77777777" w:rsidR="007C28F4" w:rsidRPr="007E0A27" w:rsidRDefault="007C28F4" w:rsidP="00351B11">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1531A175"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 xml:space="preserve">Sum of Max </w:t>
            </w:r>
            <w:r>
              <w:rPr>
                <w:rFonts w:ascii="Arial" w:hAnsi="Arial" w:cs="Arial"/>
                <w:b/>
                <w:sz w:val="20"/>
                <w:szCs w:val="20"/>
              </w:rPr>
              <w:t>M</w:t>
            </w:r>
            <w:r w:rsidRPr="007E0A27">
              <w:rPr>
                <w:rFonts w:ascii="Arial" w:hAnsi="Arial" w:cs="Arial"/>
                <w:b/>
                <w:sz w:val="20"/>
                <w:szCs w:val="20"/>
              </w:rPr>
              <w:t>W</w:t>
            </w:r>
            <w:r>
              <w:rPr>
                <w:rStyle w:val="FootnoteReference"/>
                <w:rFonts w:ascii="Arial" w:hAnsi="Arial" w:cs="Arial"/>
                <w:b/>
                <w:sz w:val="18"/>
                <w:szCs w:val="18"/>
              </w:rPr>
              <w:footnoteReference w:id="6"/>
            </w:r>
          </w:p>
        </w:tc>
        <w:tc>
          <w:tcPr>
            <w:tcW w:w="0" w:type="auto"/>
            <w:shd w:val="clear" w:color="auto" w:fill="D9E2F3"/>
            <w:vAlign w:val="center"/>
          </w:tcPr>
          <w:p w14:paraId="2C0BB47C"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 xml:space="preserve">% of Max </w:t>
            </w:r>
            <w:r>
              <w:rPr>
                <w:rFonts w:ascii="Arial" w:hAnsi="Arial" w:cs="Arial"/>
                <w:b/>
                <w:sz w:val="20"/>
                <w:szCs w:val="20"/>
              </w:rPr>
              <w:t>M</w:t>
            </w:r>
            <w:r w:rsidRPr="007E0A27">
              <w:rPr>
                <w:rFonts w:ascii="Arial" w:hAnsi="Arial" w:cs="Arial"/>
                <w:b/>
                <w:sz w:val="20"/>
                <w:szCs w:val="20"/>
              </w:rPr>
              <w:t>W</w:t>
            </w:r>
          </w:p>
        </w:tc>
        <w:tc>
          <w:tcPr>
            <w:tcW w:w="0" w:type="auto"/>
            <w:shd w:val="clear" w:color="auto" w:fill="D9E2F3"/>
            <w:vAlign w:val="center"/>
          </w:tcPr>
          <w:p w14:paraId="5817CE9D"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 xml:space="preserve">Ave. </w:t>
            </w:r>
            <w:r>
              <w:rPr>
                <w:rFonts w:ascii="Arial" w:hAnsi="Arial" w:cs="Arial"/>
                <w:b/>
                <w:sz w:val="20"/>
                <w:szCs w:val="20"/>
              </w:rPr>
              <w:t>Max MW</w:t>
            </w:r>
            <w:r>
              <w:rPr>
                <w:rStyle w:val="FootnoteReference"/>
                <w:rFonts w:ascii="Arial" w:hAnsi="Arial" w:cs="Arial"/>
                <w:b/>
                <w:sz w:val="18"/>
                <w:szCs w:val="18"/>
              </w:rPr>
              <w:footnoteReference w:id="7"/>
            </w:r>
          </w:p>
        </w:tc>
      </w:tr>
      <w:tr w:rsidR="00C06BAC" w14:paraId="03FB066A" w14:textId="77777777" w:rsidTr="00255FA2">
        <w:tc>
          <w:tcPr>
            <w:tcW w:w="0" w:type="auto"/>
          </w:tcPr>
          <w:p w14:paraId="4FEA2456"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1.Ag</w:t>
            </w:r>
            <w:r>
              <w:rPr>
                <w:rFonts w:ascii="Arial" w:hAnsi="Arial" w:cs="Arial"/>
                <w:sz w:val="20"/>
                <w:szCs w:val="20"/>
              </w:rPr>
              <w:t>riculture</w:t>
            </w:r>
            <w:r w:rsidRPr="007E0A27">
              <w:rPr>
                <w:rFonts w:ascii="Arial" w:hAnsi="Arial" w:cs="Arial"/>
                <w:sz w:val="20"/>
                <w:szCs w:val="20"/>
              </w:rPr>
              <w:t>, Mining, Constr</w:t>
            </w:r>
            <w:r>
              <w:rPr>
                <w:rFonts w:ascii="Arial" w:hAnsi="Arial" w:cs="Arial"/>
                <w:sz w:val="20"/>
                <w:szCs w:val="20"/>
              </w:rPr>
              <w:t>uction</w:t>
            </w:r>
          </w:p>
        </w:tc>
        <w:tc>
          <w:tcPr>
            <w:tcW w:w="0" w:type="auto"/>
            <w:vAlign w:val="center"/>
          </w:tcPr>
          <w:p w14:paraId="6480D679" w14:textId="6EBB6D7E" w:rsidR="00C06BAC" w:rsidRPr="00C06BAC" w:rsidRDefault="00C06BAC" w:rsidP="00255FA2">
            <w:pPr>
              <w:jc w:val="right"/>
              <w:rPr>
                <w:rFonts w:ascii="Arial" w:hAnsi="Arial" w:cs="Arial"/>
                <w:sz w:val="20"/>
                <w:szCs w:val="20"/>
              </w:rPr>
            </w:pPr>
            <w:r w:rsidRPr="00C06BAC">
              <w:rPr>
                <w:rFonts w:ascii="Arial" w:hAnsi="Arial" w:cs="Arial"/>
                <w:sz w:val="20"/>
                <w:szCs w:val="20"/>
              </w:rPr>
              <w:t>91</w:t>
            </w:r>
          </w:p>
        </w:tc>
        <w:tc>
          <w:tcPr>
            <w:tcW w:w="0" w:type="auto"/>
            <w:vAlign w:val="center"/>
          </w:tcPr>
          <w:p w14:paraId="3DB0DAFD" w14:textId="5436417F" w:rsidR="00C06BAC" w:rsidRPr="00C06BAC" w:rsidRDefault="00C06BAC" w:rsidP="00255FA2">
            <w:pPr>
              <w:jc w:val="right"/>
              <w:rPr>
                <w:rFonts w:ascii="Arial" w:hAnsi="Arial" w:cs="Arial"/>
                <w:sz w:val="20"/>
                <w:szCs w:val="20"/>
              </w:rPr>
            </w:pPr>
            <w:r w:rsidRPr="00C06BAC">
              <w:rPr>
                <w:rFonts w:ascii="Arial" w:hAnsi="Arial" w:cs="Arial"/>
                <w:sz w:val="20"/>
                <w:szCs w:val="20"/>
              </w:rPr>
              <w:t>30</w:t>
            </w:r>
          </w:p>
        </w:tc>
        <w:tc>
          <w:tcPr>
            <w:tcW w:w="0" w:type="auto"/>
            <w:vAlign w:val="center"/>
          </w:tcPr>
          <w:p w14:paraId="44CDFF7D" w14:textId="5D052B84" w:rsidR="00C06BAC" w:rsidRPr="00C06BAC" w:rsidRDefault="00C06BAC" w:rsidP="00255FA2">
            <w:pPr>
              <w:jc w:val="right"/>
              <w:rPr>
                <w:rFonts w:ascii="Arial" w:hAnsi="Arial" w:cs="Arial"/>
                <w:sz w:val="20"/>
                <w:szCs w:val="20"/>
              </w:rPr>
            </w:pPr>
            <w:r w:rsidRPr="00C06BAC">
              <w:rPr>
                <w:rFonts w:ascii="Arial" w:hAnsi="Arial" w:cs="Arial"/>
                <w:sz w:val="20"/>
                <w:szCs w:val="20"/>
              </w:rPr>
              <w:t>4.5%</w:t>
            </w:r>
          </w:p>
        </w:tc>
        <w:tc>
          <w:tcPr>
            <w:tcW w:w="0" w:type="auto"/>
            <w:vAlign w:val="center"/>
          </w:tcPr>
          <w:p w14:paraId="2DCF479C" w14:textId="3FB33B26" w:rsidR="00C06BAC" w:rsidRPr="00C06BAC" w:rsidRDefault="00C06BAC" w:rsidP="00255FA2">
            <w:pPr>
              <w:jc w:val="right"/>
              <w:rPr>
                <w:rFonts w:ascii="Arial" w:hAnsi="Arial" w:cs="Arial"/>
                <w:sz w:val="20"/>
                <w:szCs w:val="20"/>
              </w:rPr>
            </w:pPr>
            <w:r w:rsidRPr="00C06BAC">
              <w:rPr>
                <w:rFonts w:ascii="Arial" w:hAnsi="Arial" w:cs="Arial"/>
                <w:sz w:val="20"/>
                <w:szCs w:val="20"/>
              </w:rPr>
              <w:t>0.33</w:t>
            </w:r>
          </w:p>
        </w:tc>
      </w:tr>
      <w:tr w:rsidR="00C06BAC" w14:paraId="09D903E5" w14:textId="77777777" w:rsidTr="00255FA2">
        <w:tc>
          <w:tcPr>
            <w:tcW w:w="0" w:type="auto"/>
          </w:tcPr>
          <w:p w14:paraId="5031C2B6"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2.Manufacturing</w:t>
            </w:r>
          </w:p>
        </w:tc>
        <w:tc>
          <w:tcPr>
            <w:tcW w:w="0" w:type="auto"/>
            <w:vAlign w:val="center"/>
          </w:tcPr>
          <w:p w14:paraId="20078E6B" w14:textId="0A0C1D4D" w:rsidR="00C06BAC" w:rsidRPr="00C06BAC" w:rsidRDefault="00C06BAC" w:rsidP="00255FA2">
            <w:pPr>
              <w:jc w:val="right"/>
              <w:rPr>
                <w:rFonts w:ascii="Arial" w:hAnsi="Arial" w:cs="Arial"/>
                <w:sz w:val="20"/>
                <w:szCs w:val="20"/>
              </w:rPr>
            </w:pPr>
            <w:r w:rsidRPr="00C06BAC">
              <w:rPr>
                <w:rFonts w:ascii="Arial" w:hAnsi="Arial" w:cs="Arial"/>
                <w:sz w:val="20"/>
                <w:szCs w:val="20"/>
              </w:rPr>
              <w:t>175</w:t>
            </w:r>
          </w:p>
        </w:tc>
        <w:tc>
          <w:tcPr>
            <w:tcW w:w="0" w:type="auto"/>
            <w:vAlign w:val="center"/>
          </w:tcPr>
          <w:p w14:paraId="5CEF7197" w14:textId="15C38EA0" w:rsidR="00C06BAC" w:rsidRPr="00C06BAC" w:rsidRDefault="00C06BAC" w:rsidP="00255FA2">
            <w:pPr>
              <w:jc w:val="right"/>
              <w:rPr>
                <w:rFonts w:ascii="Arial" w:hAnsi="Arial" w:cs="Arial"/>
                <w:sz w:val="20"/>
                <w:szCs w:val="20"/>
              </w:rPr>
            </w:pPr>
            <w:r w:rsidRPr="00C06BAC">
              <w:rPr>
                <w:rFonts w:ascii="Arial" w:hAnsi="Arial" w:cs="Arial"/>
                <w:sz w:val="20"/>
                <w:szCs w:val="20"/>
              </w:rPr>
              <w:t>29</w:t>
            </w:r>
            <w:r w:rsidR="00F97709">
              <w:rPr>
                <w:rFonts w:ascii="Arial" w:hAnsi="Arial" w:cs="Arial"/>
                <w:sz w:val="20"/>
                <w:szCs w:val="20"/>
              </w:rPr>
              <w:t>5</w:t>
            </w:r>
          </w:p>
        </w:tc>
        <w:tc>
          <w:tcPr>
            <w:tcW w:w="0" w:type="auto"/>
            <w:vAlign w:val="center"/>
          </w:tcPr>
          <w:p w14:paraId="68E59C13" w14:textId="5B33D46E" w:rsidR="00C06BAC" w:rsidRPr="00C06BAC" w:rsidRDefault="00C06BAC" w:rsidP="00255FA2">
            <w:pPr>
              <w:jc w:val="right"/>
              <w:rPr>
                <w:rFonts w:ascii="Arial" w:hAnsi="Arial" w:cs="Arial"/>
                <w:sz w:val="20"/>
                <w:szCs w:val="20"/>
              </w:rPr>
            </w:pPr>
            <w:r w:rsidRPr="00C06BAC">
              <w:rPr>
                <w:rFonts w:ascii="Arial" w:hAnsi="Arial" w:cs="Arial"/>
                <w:sz w:val="20"/>
                <w:szCs w:val="20"/>
              </w:rPr>
              <w:t>43.</w:t>
            </w:r>
            <w:r w:rsidR="00F97709">
              <w:rPr>
                <w:rFonts w:ascii="Arial" w:hAnsi="Arial" w:cs="Arial"/>
                <w:sz w:val="20"/>
                <w:szCs w:val="20"/>
              </w:rPr>
              <w:t>8</w:t>
            </w:r>
            <w:r w:rsidRPr="00C06BAC">
              <w:rPr>
                <w:rFonts w:ascii="Arial" w:hAnsi="Arial" w:cs="Arial"/>
                <w:sz w:val="20"/>
                <w:szCs w:val="20"/>
              </w:rPr>
              <w:t>%</w:t>
            </w:r>
          </w:p>
        </w:tc>
        <w:tc>
          <w:tcPr>
            <w:tcW w:w="0" w:type="auto"/>
            <w:vAlign w:val="center"/>
          </w:tcPr>
          <w:p w14:paraId="4BA16629" w14:textId="59DDA832" w:rsidR="00C06BAC" w:rsidRPr="00C06BAC" w:rsidRDefault="00C06BAC" w:rsidP="00255FA2">
            <w:pPr>
              <w:jc w:val="right"/>
              <w:rPr>
                <w:rFonts w:ascii="Arial" w:hAnsi="Arial" w:cs="Arial"/>
                <w:sz w:val="20"/>
                <w:szCs w:val="20"/>
              </w:rPr>
            </w:pPr>
            <w:r w:rsidRPr="00C06BAC">
              <w:rPr>
                <w:rFonts w:ascii="Arial" w:hAnsi="Arial" w:cs="Arial"/>
                <w:sz w:val="20"/>
                <w:szCs w:val="20"/>
              </w:rPr>
              <w:t>1.6</w:t>
            </w:r>
            <w:r w:rsidR="00F97709">
              <w:rPr>
                <w:rFonts w:ascii="Arial" w:hAnsi="Arial" w:cs="Arial"/>
                <w:sz w:val="20"/>
                <w:szCs w:val="20"/>
              </w:rPr>
              <w:t>9</w:t>
            </w:r>
          </w:p>
        </w:tc>
      </w:tr>
      <w:tr w:rsidR="00C06BAC" w14:paraId="2E797461" w14:textId="77777777" w:rsidTr="00255FA2">
        <w:tc>
          <w:tcPr>
            <w:tcW w:w="0" w:type="auto"/>
          </w:tcPr>
          <w:p w14:paraId="6577293A"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3.Whole</w:t>
            </w:r>
            <w:r>
              <w:rPr>
                <w:rFonts w:ascii="Arial" w:hAnsi="Arial" w:cs="Arial"/>
                <w:sz w:val="20"/>
                <w:szCs w:val="20"/>
              </w:rPr>
              <w:t>sale</w:t>
            </w:r>
            <w:r w:rsidRPr="007E0A27">
              <w:rPr>
                <w:rFonts w:ascii="Arial" w:hAnsi="Arial" w:cs="Arial"/>
                <w:sz w:val="20"/>
                <w:szCs w:val="20"/>
              </w:rPr>
              <w:t>, Trans</w:t>
            </w:r>
            <w:r>
              <w:rPr>
                <w:rFonts w:ascii="Arial" w:hAnsi="Arial" w:cs="Arial"/>
                <w:sz w:val="20"/>
                <w:szCs w:val="20"/>
              </w:rPr>
              <w:t>portation</w:t>
            </w:r>
            <w:r w:rsidRPr="007E0A27">
              <w:rPr>
                <w:rFonts w:ascii="Arial" w:hAnsi="Arial" w:cs="Arial"/>
                <w:sz w:val="20"/>
                <w:szCs w:val="20"/>
              </w:rPr>
              <w:t>, Util</w:t>
            </w:r>
            <w:r>
              <w:rPr>
                <w:rFonts w:ascii="Arial" w:hAnsi="Arial" w:cs="Arial"/>
                <w:sz w:val="20"/>
                <w:szCs w:val="20"/>
              </w:rPr>
              <w:t>ities</w:t>
            </w:r>
          </w:p>
        </w:tc>
        <w:tc>
          <w:tcPr>
            <w:tcW w:w="0" w:type="auto"/>
            <w:vAlign w:val="center"/>
          </w:tcPr>
          <w:p w14:paraId="27758963" w14:textId="5A16FEC4" w:rsidR="00C06BAC" w:rsidRPr="00C06BAC" w:rsidRDefault="00C06BAC" w:rsidP="00255FA2">
            <w:pPr>
              <w:jc w:val="right"/>
              <w:rPr>
                <w:rFonts w:ascii="Arial" w:hAnsi="Arial" w:cs="Arial"/>
                <w:sz w:val="20"/>
                <w:szCs w:val="20"/>
              </w:rPr>
            </w:pPr>
            <w:r w:rsidRPr="00C06BAC">
              <w:rPr>
                <w:rFonts w:ascii="Arial" w:hAnsi="Arial" w:cs="Arial"/>
                <w:sz w:val="20"/>
                <w:szCs w:val="20"/>
              </w:rPr>
              <w:t>122</w:t>
            </w:r>
          </w:p>
        </w:tc>
        <w:tc>
          <w:tcPr>
            <w:tcW w:w="0" w:type="auto"/>
            <w:vAlign w:val="center"/>
          </w:tcPr>
          <w:p w14:paraId="63246358" w14:textId="78A62593" w:rsidR="00C06BAC" w:rsidRPr="00C06BAC" w:rsidRDefault="00C06BAC" w:rsidP="00255FA2">
            <w:pPr>
              <w:jc w:val="right"/>
              <w:rPr>
                <w:rFonts w:ascii="Arial" w:hAnsi="Arial" w:cs="Arial"/>
                <w:sz w:val="20"/>
                <w:szCs w:val="20"/>
              </w:rPr>
            </w:pPr>
            <w:r w:rsidRPr="00C06BAC">
              <w:rPr>
                <w:rFonts w:ascii="Arial" w:hAnsi="Arial" w:cs="Arial"/>
                <w:sz w:val="20"/>
                <w:szCs w:val="20"/>
              </w:rPr>
              <w:t>60</w:t>
            </w:r>
          </w:p>
        </w:tc>
        <w:tc>
          <w:tcPr>
            <w:tcW w:w="0" w:type="auto"/>
            <w:vAlign w:val="center"/>
          </w:tcPr>
          <w:p w14:paraId="060412A5" w14:textId="295DDC0A" w:rsidR="00C06BAC" w:rsidRPr="00C06BAC" w:rsidRDefault="00C06BAC" w:rsidP="00255FA2">
            <w:pPr>
              <w:jc w:val="right"/>
              <w:rPr>
                <w:rFonts w:ascii="Arial" w:hAnsi="Arial" w:cs="Arial"/>
                <w:sz w:val="20"/>
                <w:szCs w:val="20"/>
              </w:rPr>
            </w:pPr>
            <w:r w:rsidRPr="00C06BAC">
              <w:rPr>
                <w:rFonts w:ascii="Arial" w:hAnsi="Arial" w:cs="Arial"/>
                <w:sz w:val="20"/>
                <w:szCs w:val="20"/>
              </w:rPr>
              <w:t>8.9%</w:t>
            </w:r>
          </w:p>
        </w:tc>
        <w:tc>
          <w:tcPr>
            <w:tcW w:w="0" w:type="auto"/>
            <w:vAlign w:val="center"/>
          </w:tcPr>
          <w:p w14:paraId="654BF817" w14:textId="77D78516" w:rsidR="00C06BAC" w:rsidRPr="00C06BAC" w:rsidRDefault="00C06BAC" w:rsidP="00255FA2">
            <w:pPr>
              <w:jc w:val="right"/>
              <w:rPr>
                <w:rFonts w:ascii="Arial" w:hAnsi="Arial" w:cs="Arial"/>
                <w:sz w:val="20"/>
                <w:szCs w:val="20"/>
              </w:rPr>
            </w:pPr>
            <w:r w:rsidRPr="00C06BAC">
              <w:rPr>
                <w:rFonts w:ascii="Arial" w:hAnsi="Arial" w:cs="Arial"/>
                <w:sz w:val="20"/>
                <w:szCs w:val="20"/>
              </w:rPr>
              <w:t>0.49</w:t>
            </w:r>
          </w:p>
        </w:tc>
      </w:tr>
      <w:tr w:rsidR="00C06BAC" w14:paraId="1692927E" w14:textId="77777777" w:rsidTr="00255FA2">
        <w:tc>
          <w:tcPr>
            <w:tcW w:w="0" w:type="auto"/>
          </w:tcPr>
          <w:p w14:paraId="047287E8"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4.Retail</w:t>
            </w:r>
          </w:p>
        </w:tc>
        <w:tc>
          <w:tcPr>
            <w:tcW w:w="0" w:type="auto"/>
            <w:vAlign w:val="center"/>
          </w:tcPr>
          <w:p w14:paraId="38D47A84" w14:textId="4B687C38" w:rsidR="00C06BAC" w:rsidRPr="00C06BAC" w:rsidRDefault="00C06BAC" w:rsidP="00255FA2">
            <w:pPr>
              <w:jc w:val="right"/>
              <w:rPr>
                <w:rFonts w:ascii="Arial" w:hAnsi="Arial" w:cs="Arial"/>
                <w:sz w:val="20"/>
                <w:szCs w:val="20"/>
              </w:rPr>
            </w:pPr>
            <w:r w:rsidRPr="00C06BAC">
              <w:rPr>
                <w:rFonts w:ascii="Arial" w:hAnsi="Arial" w:cs="Arial"/>
                <w:sz w:val="20"/>
                <w:szCs w:val="20"/>
              </w:rPr>
              <w:t>82</w:t>
            </w:r>
          </w:p>
        </w:tc>
        <w:tc>
          <w:tcPr>
            <w:tcW w:w="0" w:type="auto"/>
            <w:vAlign w:val="center"/>
          </w:tcPr>
          <w:p w14:paraId="4A6CEC60" w14:textId="75CB5C49" w:rsidR="00C06BAC" w:rsidRPr="00C06BAC" w:rsidRDefault="00C06BAC" w:rsidP="00255FA2">
            <w:pPr>
              <w:jc w:val="right"/>
              <w:rPr>
                <w:rFonts w:ascii="Arial" w:hAnsi="Arial" w:cs="Arial"/>
                <w:sz w:val="20"/>
                <w:szCs w:val="20"/>
              </w:rPr>
            </w:pPr>
            <w:r w:rsidRPr="00C06BAC">
              <w:rPr>
                <w:rFonts w:ascii="Arial" w:hAnsi="Arial" w:cs="Arial"/>
                <w:sz w:val="20"/>
                <w:szCs w:val="20"/>
              </w:rPr>
              <w:t>11</w:t>
            </w:r>
          </w:p>
        </w:tc>
        <w:tc>
          <w:tcPr>
            <w:tcW w:w="0" w:type="auto"/>
            <w:vAlign w:val="center"/>
          </w:tcPr>
          <w:p w14:paraId="4FB4F138" w14:textId="43C47173" w:rsidR="00C06BAC" w:rsidRPr="00C06BAC" w:rsidRDefault="00C06BAC" w:rsidP="00255FA2">
            <w:pPr>
              <w:jc w:val="right"/>
              <w:rPr>
                <w:rFonts w:ascii="Arial" w:hAnsi="Arial" w:cs="Arial"/>
                <w:sz w:val="20"/>
                <w:szCs w:val="20"/>
              </w:rPr>
            </w:pPr>
            <w:r w:rsidRPr="00C06BAC">
              <w:rPr>
                <w:rFonts w:ascii="Arial" w:hAnsi="Arial" w:cs="Arial"/>
                <w:sz w:val="20"/>
                <w:szCs w:val="20"/>
              </w:rPr>
              <w:t>1.7%</w:t>
            </w:r>
          </w:p>
        </w:tc>
        <w:tc>
          <w:tcPr>
            <w:tcW w:w="0" w:type="auto"/>
            <w:vAlign w:val="center"/>
          </w:tcPr>
          <w:p w14:paraId="6B96E315" w14:textId="76E5840F" w:rsidR="00C06BAC" w:rsidRPr="00C06BAC" w:rsidRDefault="00C06BAC" w:rsidP="00255FA2">
            <w:pPr>
              <w:jc w:val="right"/>
              <w:rPr>
                <w:rFonts w:ascii="Arial" w:hAnsi="Arial" w:cs="Arial"/>
                <w:sz w:val="20"/>
                <w:szCs w:val="20"/>
              </w:rPr>
            </w:pPr>
            <w:r w:rsidRPr="00C06BAC">
              <w:rPr>
                <w:rFonts w:ascii="Arial" w:hAnsi="Arial" w:cs="Arial"/>
                <w:sz w:val="20"/>
                <w:szCs w:val="20"/>
              </w:rPr>
              <w:t>0.14</w:t>
            </w:r>
          </w:p>
        </w:tc>
      </w:tr>
      <w:tr w:rsidR="00C06BAC" w14:paraId="257116B7" w14:textId="77777777" w:rsidTr="00255FA2">
        <w:tc>
          <w:tcPr>
            <w:tcW w:w="0" w:type="auto"/>
            <w:vAlign w:val="center"/>
          </w:tcPr>
          <w:p w14:paraId="100ABAFA"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5.Offices, Hotels, Health, Services</w:t>
            </w:r>
          </w:p>
        </w:tc>
        <w:tc>
          <w:tcPr>
            <w:tcW w:w="0" w:type="auto"/>
            <w:vAlign w:val="center"/>
          </w:tcPr>
          <w:p w14:paraId="06B3BC13" w14:textId="7C61B773" w:rsidR="00C06BAC" w:rsidRPr="00C06BAC" w:rsidRDefault="00C06BAC" w:rsidP="00255FA2">
            <w:pPr>
              <w:jc w:val="right"/>
              <w:rPr>
                <w:rFonts w:ascii="Arial" w:hAnsi="Arial" w:cs="Arial"/>
                <w:sz w:val="20"/>
                <w:szCs w:val="20"/>
              </w:rPr>
            </w:pPr>
            <w:r w:rsidRPr="00C06BAC">
              <w:rPr>
                <w:rFonts w:ascii="Arial" w:hAnsi="Arial" w:cs="Arial"/>
                <w:sz w:val="20"/>
                <w:szCs w:val="20"/>
              </w:rPr>
              <w:t>250</w:t>
            </w:r>
          </w:p>
        </w:tc>
        <w:tc>
          <w:tcPr>
            <w:tcW w:w="0" w:type="auto"/>
            <w:vAlign w:val="center"/>
          </w:tcPr>
          <w:p w14:paraId="3842E1AC" w14:textId="4484D261" w:rsidR="00C06BAC" w:rsidRPr="00C06BAC" w:rsidRDefault="00C06BAC" w:rsidP="00255FA2">
            <w:pPr>
              <w:jc w:val="right"/>
              <w:rPr>
                <w:rFonts w:ascii="Arial" w:hAnsi="Arial" w:cs="Arial"/>
                <w:sz w:val="20"/>
                <w:szCs w:val="20"/>
              </w:rPr>
            </w:pPr>
            <w:r w:rsidRPr="00C06BAC">
              <w:rPr>
                <w:rFonts w:ascii="Arial" w:hAnsi="Arial" w:cs="Arial"/>
                <w:sz w:val="20"/>
                <w:szCs w:val="20"/>
              </w:rPr>
              <w:t>186</w:t>
            </w:r>
          </w:p>
        </w:tc>
        <w:tc>
          <w:tcPr>
            <w:tcW w:w="0" w:type="auto"/>
            <w:vAlign w:val="center"/>
          </w:tcPr>
          <w:p w14:paraId="78D842DF" w14:textId="104F2FB0" w:rsidR="00C06BAC" w:rsidRPr="00C06BAC" w:rsidRDefault="00C06BAC" w:rsidP="00255FA2">
            <w:pPr>
              <w:jc w:val="right"/>
              <w:rPr>
                <w:rFonts w:ascii="Arial" w:hAnsi="Arial" w:cs="Arial"/>
                <w:sz w:val="20"/>
                <w:szCs w:val="20"/>
              </w:rPr>
            </w:pPr>
            <w:r w:rsidRPr="00C06BAC">
              <w:rPr>
                <w:rFonts w:ascii="Arial" w:hAnsi="Arial" w:cs="Arial"/>
                <w:sz w:val="20"/>
                <w:szCs w:val="20"/>
              </w:rPr>
              <w:t>27.6%</w:t>
            </w:r>
          </w:p>
        </w:tc>
        <w:tc>
          <w:tcPr>
            <w:tcW w:w="0" w:type="auto"/>
            <w:vAlign w:val="center"/>
          </w:tcPr>
          <w:p w14:paraId="1B8A587B" w14:textId="1B0AD628" w:rsidR="00C06BAC" w:rsidRPr="00C06BAC" w:rsidRDefault="00C06BAC" w:rsidP="00255FA2">
            <w:pPr>
              <w:jc w:val="right"/>
              <w:rPr>
                <w:rFonts w:ascii="Arial" w:hAnsi="Arial" w:cs="Arial"/>
                <w:sz w:val="20"/>
                <w:szCs w:val="20"/>
              </w:rPr>
            </w:pPr>
            <w:r w:rsidRPr="00C06BAC">
              <w:rPr>
                <w:rFonts w:ascii="Arial" w:hAnsi="Arial" w:cs="Arial"/>
                <w:sz w:val="20"/>
                <w:szCs w:val="20"/>
              </w:rPr>
              <w:t>0.74</w:t>
            </w:r>
          </w:p>
        </w:tc>
      </w:tr>
      <w:tr w:rsidR="00C06BAC" w14:paraId="61FEAF58" w14:textId="77777777" w:rsidTr="00255FA2">
        <w:tc>
          <w:tcPr>
            <w:tcW w:w="0" w:type="auto"/>
          </w:tcPr>
          <w:p w14:paraId="7E812E83"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6.Schools</w:t>
            </w:r>
          </w:p>
        </w:tc>
        <w:tc>
          <w:tcPr>
            <w:tcW w:w="0" w:type="auto"/>
            <w:vAlign w:val="center"/>
          </w:tcPr>
          <w:p w14:paraId="3CE25518" w14:textId="602B3BDE" w:rsidR="00C06BAC" w:rsidRPr="00C06BAC" w:rsidRDefault="00C06BAC" w:rsidP="00255FA2">
            <w:pPr>
              <w:jc w:val="right"/>
              <w:rPr>
                <w:rFonts w:ascii="Arial" w:hAnsi="Arial" w:cs="Arial"/>
                <w:sz w:val="20"/>
                <w:szCs w:val="20"/>
              </w:rPr>
            </w:pPr>
          </w:p>
        </w:tc>
        <w:tc>
          <w:tcPr>
            <w:tcW w:w="0" w:type="auto"/>
            <w:vAlign w:val="center"/>
          </w:tcPr>
          <w:p w14:paraId="51E75D26" w14:textId="57407DE9" w:rsidR="00C06BAC" w:rsidRPr="00C06BAC" w:rsidRDefault="00C06BAC" w:rsidP="00255FA2">
            <w:pPr>
              <w:jc w:val="right"/>
              <w:rPr>
                <w:rFonts w:ascii="Arial" w:hAnsi="Arial" w:cs="Arial"/>
                <w:sz w:val="20"/>
                <w:szCs w:val="20"/>
              </w:rPr>
            </w:pPr>
          </w:p>
        </w:tc>
        <w:tc>
          <w:tcPr>
            <w:tcW w:w="0" w:type="auto"/>
            <w:vAlign w:val="center"/>
          </w:tcPr>
          <w:p w14:paraId="33ED5612" w14:textId="1431D837" w:rsidR="00C06BAC" w:rsidRPr="00C06BAC" w:rsidRDefault="00C06BAC" w:rsidP="00255FA2">
            <w:pPr>
              <w:jc w:val="right"/>
              <w:rPr>
                <w:rFonts w:ascii="Arial" w:hAnsi="Arial" w:cs="Arial"/>
                <w:sz w:val="20"/>
                <w:szCs w:val="20"/>
              </w:rPr>
            </w:pPr>
          </w:p>
        </w:tc>
        <w:tc>
          <w:tcPr>
            <w:tcW w:w="0" w:type="auto"/>
            <w:vAlign w:val="center"/>
          </w:tcPr>
          <w:p w14:paraId="330BAD28" w14:textId="3713F885" w:rsidR="00C06BAC" w:rsidRPr="00C06BAC" w:rsidRDefault="00C06BAC" w:rsidP="00255FA2">
            <w:pPr>
              <w:jc w:val="right"/>
              <w:rPr>
                <w:rFonts w:ascii="Arial" w:hAnsi="Arial" w:cs="Arial"/>
                <w:sz w:val="20"/>
                <w:szCs w:val="20"/>
              </w:rPr>
            </w:pPr>
          </w:p>
        </w:tc>
      </w:tr>
      <w:tr w:rsidR="00C06BAC" w14:paraId="4B6B42C9" w14:textId="77777777" w:rsidTr="00255FA2">
        <w:tc>
          <w:tcPr>
            <w:tcW w:w="0" w:type="auto"/>
          </w:tcPr>
          <w:p w14:paraId="0299BEAE"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7.</w:t>
            </w:r>
            <w:r>
              <w:rPr>
                <w:rFonts w:ascii="Arial" w:hAnsi="Arial" w:cs="Arial"/>
                <w:sz w:val="20"/>
                <w:szCs w:val="20"/>
              </w:rPr>
              <w:t xml:space="preserve"> </w:t>
            </w:r>
            <w:r w:rsidRPr="007E0A27">
              <w:rPr>
                <w:rFonts w:ascii="Arial" w:hAnsi="Arial" w:cs="Arial"/>
                <w:sz w:val="20"/>
                <w:szCs w:val="20"/>
              </w:rPr>
              <w:t>Ent</w:t>
            </w:r>
            <w:r>
              <w:rPr>
                <w:rFonts w:ascii="Arial" w:hAnsi="Arial" w:cs="Arial"/>
                <w:sz w:val="20"/>
                <w:szCs w:val="20"/>
              </w:rPr>
              <w:t>ertainment</w:t>
            </w:r>
            <w:r w:rsidRPr="007E0A27">
              <w:rPr>
                <w:rFonts w:ascii="Arial" w:hAnsi="Arial" w:cs="Arial"/>
                <w:sz w:val="20"/>
                <w:szCs w:val="20"/>
              </w:rPr>
              <w:t xml:space="preserve">, Other </w:t>
            </w:r>
            <w:r>
              <w:rPr>
                <w:rFonts w:ascii="Arial" w:hAnsi="Arial" w:cs="Arial"/>
                <w:sz w:val="20"/>
                <w:szCs w:val="20"/>
              </w:rPr>
              <w:t>Services</w:t>
            </w:r>
            <w:r w:rsidRPr="007E0A27">
              <w:rPr>
                <w:rFonts w:ascii="Arial" w:hAnsi="Arial" w:cs="Arial"/>
                <w:sz w:val="20"/>
                <w:szCs w:val="20"/>
              </w:rPr>
              <w:t>, Gov</w:t>
            </w:r>
            <w:r>
              <w:rPr>
                <w:rFonts w:ascii="Arial" w:hAnsi="Arial" w:cs="Arial"/>
                <w:sz w:val="20"/>
                <w:szCs w:val="20"/>
              </w:rPr>
              <w:t>ernmen</w:t>
            </w:r>
            <w:r w:rsidRPr="007E0A27">
              <w:rPr>
                <w:rFonts w:ascii="Arial" w:hAnsi="Arial" w:cs="Arial"/>
                <w:sz w:val="20"/>
                <w:szCs w:val="20"/>
              </w:rPr>
              <w:t>t.</w:t>
            </w:r>
          </w:p>
        </w:tc>
        <w:tc>
          <w:tcPr>
            <w:tcW w:w="0" w:type="auto"/>
            <w:vAlign w:val="center"/>
          </w:tcPr>
          <w:p w14:paraId="5F34C86A" w14:textId="500CEBB2" w:rsidR="00C06BAC" w:rsidRPr="00C06BAC" w:rsidRDefault="00C06BAC" w:rsidP="00255FA2">
            <w:pPr>
              <w:jc w:val="right"/>
              <w:rPr>
                <w:rFonts w:ascii="Arial" w:hAnsi="Arial" w:cs="Arial"/>
                <w:sz w:val="20"/>
                <w:szCs w:val="20"/>
              </w:rPr>
            </w:pPr>
            <w:r w:rsidRPr="00C06BAC">
              <w:rPr>
                <w:rFonts w:ascii="Arial" w:hAnsi="Arial" w:cs="Arial"/>
                <w:sz w:val="20"/>
                <w:szCs w:val="20"/>
              </w:rPr>
              <w:t>100</w:t>
            </w:r>
          </w:p>
        </w:tc>
        <w:tc>
          <w:tcPr>
            <w:tcW w:w="0" w:type="auto"/>
            <w:vAlign w:val="center"/>
          </w:tcPr>
          <w:p w14:paraId="06F974FD" w14:textId="106AA75F" w:rsidR="00C06BAC" w:rsidRPr="00C06BAC" w:rsidRDefault="00C06BAC" w:rsidP="00255FA2">
            <w:pPr>
              <w:jc w:val="right"/>
              <w:rPr>
                <w:rFonts w:ascii="Arial" w:hAnsi="Arial" w:cs="Arial"/>
                <w:sz w:val="20"/>
                <w:szCs w:val="20"/>
              </w:rPr>
            </w:pPr>
            <w:r w:rsidRPr="00C06BAC">
              <w:rPr>
                <w:rFonts w:ascii="Arial" w:hAnsi="Arial" w:cs="Arial"/>
                <w:sz w:val="20"/>
                <w:szCs w:val="20"/>
              </w:rPr>
              <w:t>73</w:t>
            </w:r>
          </w:p>
        </w:tc>
        <w:tc>
          <w:tcPr>
            <w:tcW w:w="0" w:type="auto"/>
            <w:vAlign w:val="center"/>
          </w:tcPr>
          <w:p w14:paraId="2B09B64C" w14:textId="30B6A877" w:rsidR="00C06BAC" w:rsidRPr="00C06BAC" w:rsidRDefault="00C06BAC" w:rsidP="00255FA2">
            <w:pPr>
              <w:jc w:val="right"/>
              <w:rPr>
                <w:rFonts w:ascii="Arial" w:hAnsi="Arial" w:cs="Arial"/>
                <w:sz w:val="20"/>
                <w:szCs w:val="20"/>
              </w:rPr>
            </w:pPr>
            <w:r w:rsidRPr="00C06BAC">
              <w:rPr>
                <w:rFonts w:ascii="Arial" w:hAnsi="Arial" w:cs="Arial"/>
                <w:sz w:val="20"/>
                <w:szCs w:val="20"/>
              </w:rPr>
              <w:t>10.9%</w:t>
            </w:r>
          </w:p>
        </w:tc>
        <w:tc>
          <w:tcPr>
            <w:tcW w:w="0" w:type="auto"/>
            <w:vAlign w:val="center"/>
          </w:tcPr>
          <w:p w14:paraId="2EA357C7" w14:textId="7589D4BC" w:rsidR="00C06BAC" w:rsidRPr="00C06BAC" w:rsidRDefault="00C06BAC" w:rsidP="00255FA2">
            <w:pPr>
              <w:jc w:val="right"/>
              <w:rPr>
                <w:rFonts w:ascii="Arial" w:hAnsi="Arial" w:cs="Arial"/>
                <w:sz w:val="20"/>
                <w:szCs w:val="20"/>
              </w:rPr>
            </w:pPr>
            <w:r w:rsidRPr="00C06BAC">
              <w:rPr>
                <w:rFonts w:ascii="Arial" w:hAnsi="Arial" w:cs="Arial"/>
                <w:sz w:val="20"/>
                <w:szCs w:val="20"/>
              </w:rPr>
              <w:t>0.73</w:t>
            </w:r>
          </w:p>
        </w:tc>
      </w:tr>
      <w:tr w:rsidR="00C06BAC" w14:paraId="62149DF5" w14:textId="77777777" w:rsidTr="00255FA2">
        <w:tc>
          <w:tcPr>
            <w:tcW w:w="0" w:type="auto"/>
          </w:tcPr>
          <w:p w14:paraId="6CEDFC86" w14:textId="77777777" w:rsidR="00C06BAC" w:rsidRPr="007E0A27" w:rsidRDefault="00C06BAC" w:rsidP="00C06BAC">
            <w:pPr>
              <w:keepNext/>
              <w:keepLines/>
              <w:rPr>
                <w:rFonts w:ascii="Arial" w:hAnsi="Arial" w:cs="Arial"/>
                <w:sz w:val="20"/>
                <w:szCs w:val="20"/>
              </w:rPr>
            </w:pPr>
            <w:r w:rsidRPr="007E0A27">
              <w:rPr>
                <w:rFonts w:ascii="Arial" w:hAnsi="Arial" w:cs="Arial"/>
                <w:sz w:val="20"/>
                <w:szCs w:val="20"/>
              </w:rPr>
              <w:t>8.Other</w:t>
            </w:r>
          </w:p>
        </w:tc>
        <w:tc>
          <w:tcPr>
            <w:tcW w:w="0" w:type="auto"/>
            <w:vAlign w:val="center"/>
          </w:tcPr>
          <w:p w14:paraId="00FD82EA" w14:textId="6343B217" w:rsidR="00C06BAC" w:rsidRPr="00C06BAC" w:rsidRDefault="00C06BAC" w:rsidP="00255FA2">
            <w:pPr>
              <w:jc w:val="right"/>
              <w:rPr>
                <w:rFonts w:ascii="Arial" w:hAnsi="Arial" w:cs="Arial"/>
                <w:sz w:val="20"/>
                <w:szCs w:val="20"/>
              </w:rPr>
            </w:pPr>
          </w:p>
        </w:tc>
        <w:tc>
          <w:tcPr>
            <w:tcW w:w="0" w:type="auto"/>
            <w:vAlign w:val="center"/>
          </w:tcPr>
          <w:p w14:paraId="18940395" w14:textId="005BF7F2" w:rsidR="00C06BAC" w:rsidRPr="00C06BAC" w:rsidRDefault="00C06BAC" w:rsidP="00255FA2">
            <w:pPr>
              <w:jc w:val="right"/>
              <w:rPr>
                <w:rFonts w:ascii="Arial" w:hAnsi="Arial" w:cs="Arial"/>
                <w:sz w:val="20"/>
                <w:szCs w:val="20"/>
              </w:rPr>
            </w:pPr>
          </w:p>
        </w:tc>
        <w:tc>
          <w:tcPr>
            <w:tcW w:w="0" w:type="auto"/>
            <w:vAlign w:val="center"/>
          </w:tcPr>
          <w:p w14:paraId="015A23EE" w14:textId="6D9821F7" w:rsidR="00C06BAC" w:rsidRPr="00C06BAC" w:rsidRDefault="00C06BAC" w:rsidP="00255FA2">
            <w:pPr>
              <w:jc w:val="right"/>
              <w:rPr>
                <w:rFonts w:ascii="Arial" w:hAnsi="Arial" w:cs="Arial"/>
                <w:sz w:val="20"/>
                <w:szCs w:val="20"/>
              </w:rPr>
            </w:pPr>
          </w:p>
        </w:tc>
        <w:tc>
          <w:tcPr>
            <w:tcW w:w="0" w:type="auto"/>
            <w:vAlign w:val="center"/>
          </w:tcPr>
          <w:p w14:paraId="7A21144C" w14:textId="51C42A50" w:rsidR="00C06BAC" w:rsidRPr="00C06BAC" w:rsidRDefault="00C06BAC" w:rsidP="00255FA2">
            <w:pPr>
              <w:jc w:val="right"/>
              <w:rPr>
                <w:rFonts w:ascii="Arial" w:hAnsi="Arial" w:cs="Arial"/>
                <w:sz w:val="20"/>
                <w:szCs w:val="20"/>
              </w:rPr>
            </w:pPr>
          </w:p>
        </w:tc>
      </w:tr>
      <w:tr w:rsidR="00C06BAC" w14:paraId="6FCF184A" w14:textId="77777777" w:rsidTr="00255FA2">
        <w:tc>
          <w:tcPr>
            <w:tcW w:w="0" w:type="auto"/>
          </w:tcPr>
          <w:p w14:paraId="4BFCB4D1" w14:textId="77777777" w:rsidR="00C06BAC" w:rsidRPr="007E0A27" w:rsidRDefault="00C06BAC" w:rsidP="00C06BAC">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38B19696" w14:textId="03CD1908" w:rsidR="00C06BAC" w:rsidRPr="00C06BAC" w:rsidRDefault="00C06BAC" w:rsidP="00255FA2">
            <w:pPr>
              <w:jc w:val="right"/>
              <w:rPr>
                <w:rFonts w:ascii="Arial" w:hAnsi="Arial" w:cs="Arial"/>
                <w:b/>
                <w:sz w:val="20"/>
                <w:szCs w:val="20"/>
              </w:rPr>
            </w:pPr>
            <w:r w:rsidRPr="00C06BAC">
              <w:rPr>
                <w:rFonts w:ascii="Arial" w:hAnsi="Arial" w:cs="Arial"/>
                <w:b/>
                <w:sz w:val="20"/>
                <w:szCs w:val="20"/>
              </w:rPr>
              <w:t>846</w:t>
            </w:r>
          </w:p>
        </w:tc>
        <w:tc>
          <w:tcPr>
            <w:tcW w:w="0" w:type="auto"/>
            <w:vAlign w:val="center"/>
          </w:tcPr>
          <w:p w14:paraId="0FEAB81C" w14:textId="0EB285CD" w:rsidR="00C06BAC" w:rsidRPr="00C06BAC" w:rsidRDefault="00C06BAC" w:rsidP="00255FA2">
            <w:pPr>
              <w:jc w:val="right"/>
              <w:rPr>
                <w:rFonts w:ascii="Arial" w:hAnsi="Arial" w:cs="Arial"/>
                <w:b/>
                <w:sz w:val="20"/>
                <w:szCs w:val="20"/>
              </w:rPr>
            </w:pPr>
            <w:r w:rsidRPr="00C06BAC">
              <w:rPr>
                <w:rFonts w:ascii="Arial" w:hAnsi="Arial" w:cs="Arial"/>
                <w:b/>
                <w:sz w:val="20"/>
                <w:szCs w:val="20"/>
              </w:rPr>
              <w:t>673</w:t>
            </w:r>
          </w:p>
        </w:tc>
        <w:tc>
          <w:tcPr>
            <w:tcW w:w="0" w:type="auto"/>
            <w:vAlign w:val="center"/>
          </w:tcPr>
          <w:p w14:paraId="3AA5C5D1" w14:textId="77777777" w:rsidR="00C06BAC" w:rsidRPr="00C06BAC" w:rsidRDefault="00C06BAC" w:rsidP="00255FA2">
            <w:pPr>
              <w:jc w:val="right"/>
              <w:rPr>
                <w:rFonts w:ascii="Arial" w:hAnsi="Arial" w:cs="Arial"/>
                <w:b/>
                <w:sz w:val="20"/>
                <w:szCs w:val="20"/>
              </w:rPr>
            </w:pPr>
          </w:p>
        </w:tc>
        <w:tc>
          <w:tcPr>
            <w:tcW w:w="0" w:type="auto"/>
            <w:vAlign w:val="center"/>
          </w:tcPr>
          <w:p w14:paraId="04A2ACE2" w14:textId="7EDDF4CE" w:rsidR="00C06BAC" w:rsidRPr="00C06BAC" w:rsidRDefault="00C06BAC" w:rsidP="00255FA2">
            <w:pPr>
              <w:jc w:val="right"/>
              <w:rPr>
                <w:rFonts w:ascii="Arial" w:hAnsi="Arial" w:cs="Arial"/>
                <w:b/>
                <w:sz w:val="20"/>
                <w:szCs w:val="20"/>
              </w:rPr>
            </w:pPr>
            <w:r w:rsidRPr="00C06BAC">
              <w:rPr>
                <w:rFonts w:ascii="Arial" w:hAnsi="Arial" w:cs="Arial"/>
                <w:b/>
                <w:sz w:val="20"/>
                <w:szCs w:val="20"/>
              </w:rPr>
              <w:t>0.80</w:t>
            </w:r>
          </w:p>
        </w:tc>
      </w:tr>
    </w:tbl>
    <w:p w14:paraId="76E3C5F1" w14:textId="77777777" w:rsidR="007C28F4" w:rsidRDefault="007C28F4" w:rsidP="007C28F4"/>
    <w:p w14:paraId="1B2DA085" w14:textId="3A18F872" w:rsidR="00321E09" w:rsidRPr="007C28F4" w:rsidRDefault="00321E09" w:rsidP="005839AE">
      <w:pPr>
        <w:rPr>
          <w:highlight w:val="yellow"/>
        </w:rPr>
      </w:pPr>
      <w:r w:rsidRPr="00550E7D">
        <w:t>Table 2.2 shows comparable information on DBP enrollment for SCE. SCE’s enrollment in DBP</w:t>
      </w:r>
      <w:r w:rsidR="009012D7" w:rsidRPr="00550E7D">
        <w:t xml:space="preserve"> </w:t>
      </w:r>
      <w:r w:rsidR="008A1120" w:rsidRPr="00550E7D">
        <w:t xml:space="preserve">averaged </w:t>
      </w:r>
      <w:r w:rsidR="00805C89">
        <w:t>9</w:t>
      </w:r>
      <w:r w:rsidR="00587396">
        <w:t>44</w:t>
      </w:r>
      <w:r w:rsidR="009012D7" w:rsidRPr="00550E7D">
        <w:t xml:space="preserve"> service accounts</w:t>
      </w:r>
      <w:r w:rsidR="008A1120" w:rsidRPr="00550E7D">
        <w:t xml:space="preserve"> across the PY201</w:t>
      </w:r>
      <w:r w:rsidR="00805C89">
        <w:t>4</w:t>
      </w:r>
      <w:r w:rsidR="008A1120" w:rsidRPr="00550E7D">
        <w:t xml:space="preserve"> event days</w:t>
      </w:r>
      <w:r w:rsidR="009012D7" w:rsidRPr="00550E7D">
        <w:t xml:space="preserve">, which is a </w:t>
      </w:r>
      <w:r w:rsidR="00805C89">
        <w:t xml:space="preserve">significant </w:t>
      </w:r>
      <w:r w:rsidR="00550E7D" w:rsidRPr="00550E7D">
        <w:t>de</w:t>
      </w:r>
      <w:r w:rsidR="009012D7" w:rsidRPr="00550E7D">
        <w:t xml:space="preserve">crease relative to the </w:t>
      </w:r>
      <w:r w:rsidR="008A1120" w:rsidRPr="00550E7D">
        <w:t xml:space="preserve">average of </w:t>
      </w:r>
      <w:r w:rsidRPr="00550E7D">
        <w:t>1,</w:t>
      </w:r>
      <w:r w:rsidR="009012D7" w:rsidRPr="00550E7D">
        <w:t>3</w:t>
      </w:r>
      <w:r w:rsidR="00D9388E">
        <w:t>12</w:t>
      </w:r>
      <w:r w:rsidR="009012D7" w:rsidRPr="00550E7D">
        <w:t xml:space="preserve"> enrolled</w:t>
      </w:r>
      <w:r w:rsidR="00B2345B" w:rsidRPr="00550E7D">
        <w:t xml:space="preserve"> service accounts</w:t>
      </w:r>
      <w:r w:rsidRPr="00550E7D">
        <w:t xml:space="preserve"> </w:t>
      </w:r>
      <w:r w:rsidR="008A1120" w:rsidRPr="00550E7D">
        <w:t>across the PY</w:t>
      </w:r>
      <w:r w:rsidRPr="00550E7D">
        <w:t>201</w:t>
      </w:r>
      <w:r w:rsidR="00805C89">
        <w:t>3</w:t>
      </w:r>
      <w:r w:rsidR="008A1120" w:rsidRPr="00550E7D">
        <w:t xml:space="preserve"> event days</w:t>
      </w:r>
      <w:r w:rsidRPr="00550E7D">
        <w:t>.</w:t>
      </w:r>
      <w:r w:rsidR="00D9388E">
        <w:t xml:space="preserve"> </w:t>
      </w:r>
      <w:r w:rsidR="00D051DC">
        <w:t xml:space="preserve">The reduction in enrollment is largely due to SCE removing non-performing service accounts from the program. </w:t>
      </w:r>
      <w:r w:rsidRPr="00550E7D">
        <w:t>The</w:t>
      </w:r>
      <w:r w:rsidR="00D051DC">
        <w:t xml:space="preserve"> enrolled customers</w:t>
      </w:r>
      <w:r w:rsidRPr="00550E7D">
        <w:t xml:space="preserve"> accounted for a total of </w:t>
      </w:r>
      <w:r w:rsidR="00D9388E">
        <w:t>8</w:t>
      </w:r>
      <w:r w:rsidR="00587396">
        <w:t>47</w:t>
      </w:r>
      <w:r w:rsidRPr="00550E7D">
        <w:t xml:space="preserve"> MW of maximum demand, or </w:t>
      </w:r>
      <w:r w:rsidR="007469E5" w:rsidRPr="00550E7D">
        <w:t>0.</w:t>
      </w:r>
      <w:r w:rsidR="00D9388E">
        <w:t>9</w:t>
      </w:r>
      <w:r w:rsidR="00587396">
        <w:t>0</w:t>
      </w:r>
      <w:r w:rsidR="00B2345B" w:rsidRPr="00550E7D">
        <w:t xml:space="preserve"> </w:t>
      </w:r>
      <w:r w:rsidR="009D06AF" w:rsidRPr="00550E7D">
        <w:t xml:space="preserve">MW </w:t>
      </w:r>
      <w:r w:rsidRPr="00550E7D">
        <w:t xml:space="preserve">per service account. Manufacturers continued to make up more than half of the enrolled load. </w:t>
      </w:r>
      <w:r w:rsidR="00A54F76">
        <w:t xml:space="preserve">Note that some </w:t>
      </w:r>
      <w:r w:rsidR="00A54F76" w:rsidRPr="00C749DA">
        <w:t>results have been removed due to confidentiality concerns.</w:t>
      </w:r>
      <w:r w:rsidRPr="00550E7D">
        <w:t xml:space="preserve"> </w:t>
      </w:r>
    </w:p>
    <w:p w14:paraId="4073CC6F" w14:textId="77777777" w:rsidR="00321E09" w:rsidRPr="007C28F4" w:rsidRDefault="00321E09" w:rsidP="005839AE">
      <w:pPr>
        <w:rPr>
          <w:highlight w:val="yellow"/>
        </w:rPr>
      </w:pPr>
    </w:p>
    <w:p w14:paraId="3576880E" w14:textId="77777777" w:rsidR="00321E09" w:rsidRPr="00550E7D" w:rsidRDefault="00321E09" w:rsidP="009012D7">
      <w:pPr>
        <w:pStyle w:val="TableCaption"/>
        <w:keepNext/>
        <w:keepLines/>
      </w:pPr>
      <w:bookmarkStart w:id="77" w:name="_Toc226190226"/>
      <w:bookmarkStart w:id="78" w:name="_Toc415761867"/>
      <w:r w:rsidRPr="00550E7D">
        <w:t>Table 2.2: DBP Enrol</w:t>
      </w:r>
      <w:r w:rsidR="00852320" w:rsidRPr="00550E7D">
        <w:t>lees by Industry G</w:t>
      </w:r>
      <w:r w:rsidRPr="00550E7D">
        <w:t>roup</w:t>
      </w:r>
      <w:r w:rsidR="00E32794" w:rsidRPr="00550E7D">
        <w:t xml:space="preserve">, </w:t>
      </w:r>
      <w:r w:rsidRPr="00550E7D">
        <w:rPr>
          <w:i/>
        </w:rPr>
        <w:t>SCE</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8"/>
        <w:gridCol w:w="1803"/>
        <w:gridCol w:w="1309"/>
        <w:gridCol w:w="1191"/>
        <w:gridCol w:w="1129"/>
      </w:tblGrid>
      <w:tr w:rsidR="002921BB" w:rsidRPr="007C28F4" w14:paraId="676EA336" w14:textId="77777777" w:rsidTr="0005199B">
        <w:tc>
          <w:tcPr>
            <w:tcW w:w="0" w:type="auto"/>
            <w:shd w:val="clear" w:color="auto" w:fill="D9E2F3"/>
            <w:vAlign w:val="center"/>
          </w:tcPr>
          <w:p w14:paraId="1F4E50BD"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Industry Type</w:t>
            </w:r>
          </w:p>
        </w:tc>
        <w:tc>
          <w:tcPr>
            <w:tcW w:w="0" w:type="auto"/>
            <w:shd w:val="clear" w:color="auto" w:fill="D9E2F3"/>
            <w:vAlign w:val="center"/>
          </w:tcPr>
          <w:p w14:paraId="1A7C195C"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 of Service Accounts</w:t>
            </w:r>
          </w:p>
        </w:tc>
        <w:tc>
          <w:tcPr>
            <w:tcW w:w="0" w:type="auto"/>
            <w:shd w:val="clear" w:color="auto" w:fill="D9E2F3"/>
            <w:vAlign w:val="center"/>
          </w:tcPr>
          <w:p w14:paraId="25E5A8D4"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Sum of Max MW</w:t>
            </w:r>
          </w:p>
        </w:tc>
        <w:tc>
          <w:tcPr>
            <w:tcW w:w="0" w:type="auto"/>
            <w:shd w:val="clear" w:color="auto" w:fill="D9E2F3"/>
            <w:vAlign w:val="center"/>
          </w:tcPr>
          <w:p w14:paraId="768A8EA6"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 of Max MW</w:t>
            </w:r>
          </w:p>
        </w:tc>
        <w:tc>
          <w:tcPr>
            <w:tcW w:w="0" w:type="auto"/>
            <w:shd w:val="clear" w:color="auto" w:fill="D9E2F3"/>
            <w:vAlign w:val="center"/>
          </w:tcPr>
          <w:p w14:paraId="3C8F7B01"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Ave. Max MW</w:t>
            </w:r>
          </w:p>
        </w:tc>
      </w:tr>
      <w:tr w:rsidR="00587396" w:rsidRPr="007C28F4" w14:paraId="3D084B9C" w14:textId="77777777" w:rsidTr="00587396">
        <w:tc>
          <w:tcPr>
            <w:tcW w:w="0" w:type="auto"/>
          </w:tcPr>
          <w:p w14:paraId="1A784442"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1.Agriculture, Mining, Construction</w:t>
            </w:r>
          </w:p>
        </w:tc>
        <w:tc>
          <w:tcPr>
            <w:tcW w:w="0" w:type="auto"/>
            <w:vAlign w:val="center"/>
          </w:tcPr>
          <w:p w14:paraId="12DF5233" w14:textId="7CE6B52E" w:rsidR="00587396" w:rsidRPr="00587396" w:rsidRDefault="00587396" w:rsidP="00587396">
            <w:pPr>
              <w:jc w:val="right"/>
              <w:rPr>
                <w:rFonts w:ascii="Arial" w:hAnsi="Arial" w:cs="Arial"/>
                <w:sz w:val="20"/>
                <w:szCs w:val="20"/>
              </w:rPr>
            </w:pPr>
          </w:p>
        </w:tc>
        <w:tc>
          <w:tcPr>
            <w:tcW w:w="0" w:type="auto"/>
            <w:vAlign w:val="center"/>
          </w:tcPr>
          <w:p w14:paraId="1C61272D" w14:textId="6947A736" w:rsidR="00587396" w:rsidRPr="00587396" w:rsidRDefault="00587396" w:rsidP="00587396">
            <w:pPr>
              <w:jc w:val="right"/>
              <w:rPr>
                <w:rFonts w:ascii="Arial" w:hAnsi="Arial" w:cs="Arial"/>
                <w:sz w:val="20"/>
                <w:szCs w:val="20"/>
              </w:rPr>
            </w:pPr>
          </w:p>
        </w:tc>
        <w:tc>
          <w:tcPr>
            <w:tcW w:w="0" w:type="auto"/>
            <w:vAlign w:val="center"/>
          </w:tcPr>
          <w:p w14:paraId="5628A91C" w14:textId="3BFCB8BB" w:rsidR="00587396" w:rsidRPr="00587396" w:rsidRDefault="00587396" w:rsidP="00587396">
            <w:pPr>
              <w:jc w:val="right"/>
              <w:rPr>
                <w:rFonts w:ascii="Arial" w:hAnsi="Arial" w:cs="Arial"/>
                <w:sz w:val="20"/>
                <w:szCs w:val="20"/>
              </w:rPr>
            </w:pPr>
          </w:p>
        </w:tc>
        <w:tc>
          <w:tcPr>
            <w:tcW w:w="0" w:type="auto"/>
            <w:vAlign w:val="center"/>
          </w:tcPr>
          <w:p w14:paraId="70EC871D" w14:textId="0905BBA7" w:rsidR="00587396" w:rsidRPr="00587396" w:rsidRDefault="00587396" w:rsidP="00587396">
            <w:pPr>
              <w:jc w:val="right"/>
              <w:rPr>
                <w:rFonts w:ascii="Arial" w:hAnsi="Arial" w:cs="Arial"/>
                <w:sz w:val="20"/>
                <w:szCs w:val="20"/>
              </w:rPr>
            </w:pPr>
          </w:p>
        </w:tc>
      </w:tr>
      <w:tr w:rsidR="00587396" w:rsidRPr="007C28F4" w14:paraId="169FC32E" w14:textId="77777777" w:rsidTr="00587396">
        <w:tc>
          <w:tcPr>
            <w:tcW w:w="0" w:type="auto"/>
          </w:tcPr>
          <w:p w14:paraId="0249850E"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2.Manufacturing</w:t>
            </w:r>
          </w:p>
        </w:tc>
        <w:tc>
          <w:tcPr>
            <w:tcW w:w="0" w:type="auto"/>
            <w:vAlign w:val="center"/>
          </w:tcPr>
          <w:p w14:paraId="59821458" w14:textId="07AF8333" w:rsidR="00587396" w:rsidRPr="00587396" w:rsidRDefault="00587396" w:rsidP="00587396">
            <w:pPr>
              <w:jc w:val="right"/>
              <w:rPr>
                <w:rFonts w:ascii="Arial" w:hAnsi="Arial" w:cs="Arial"/>
                <w:sz w:val="20"/>
                <w:szCs w:val="20"/>
              </w:rPr>
            </w:pPr>
            <w:r w:rsidRPr="00587396">
              <w:rPr>
                <w:rFonts w:ascii="Arial" w:hAnsi="Arial" w:cs="Arial"/>
                <w:sz w:val="20"/>
                <w:szCs w:val="20"/>
              </w:rPr>
              <w:t>203</w:t>
            </w:r>
          </w:p>
        </w:tc>
        <w:tc>
          <w:tcPr>
            <w:tcW w:w="0" w:type="auto"/>
            <w:vAlign w:val="center"/>
          </w:tcPr>
          <w:p w14:paraId="6E535EE4" w14:textId="5008AAE8" w:rsidR="00587396" w:rsidRPr="00587396" w:rsidRDefault="00587396" w:rsidP="00587396">
            <w:pPr>
              <w:jc w:val="right"/>
              <w:rPr>
                <w:rFonts w:ascii="Arial" w:hAnsi="Arial" w:cs="Arial"/>
                <w:sz w:val="20"/>
                <w:szCs w:val="20"/>
              </w:rPr>
            </w:pPr>
            <w:r w:rsidRPr="00587396">
              <w:rPr>
                <w:rFonts w:ascii="Arial" w:hAnsi="Arial" w:cs="Arial"/>
                <w:sz w:val="20"/>
                <w:szCs w:val="20"/>
              </w:rPr>
              <w:t>457.0</w:t>
            </w:r>
          </w:p>
        </w:tc>
        <w:tc>
          <w:tcPr>
            <w:tcW w:w="0" w:type="auto"/>
            <w:vAlign w:val="center"/>
          </w:tcPr>
          <w:p w14:paraId="0F6C4964" w14:textId="1E74DEB2" w:rsidR="00587396" w:rsidRPr="00587396" w:rsidRDefault="00587396" w:rsidP="00587396">
            <w:pPr>
              <w:jc w:val="right"/>
              <w:rPr>
                <w:rFonts w:ascii="Arial" w:hAnsi="Arial" w:cs="Arial"/>
                <w:sz w:val="20"/>
                <w:szCs w:val="20"/>
              </w:rPr>
            </w:pPr>
            <w:r w:rsidRPr="00587396">
              <w:rPr>
                <w:rFonts w:ascii="Arial" w:hAnsi="Arial" w:cs="Arial"/>
                <w:sz w:val="20"/>
                <w:szCs w:val="20"/>
              </w:rPr>
              <w:t>54.0%</w:t>
            </w:r>
          </w:p>
        </w:tc>
        <w:tc>
          <w:tcPr>
            <w:tcW w:w="0" w:type="auto"/>
            <w:vAlign w:val="center"/>
          </w:tcPr>
          <w:p w14:paraId="48483ED8" w14:textId="26CC47C8" w:rsidR="00587396" w:rsidRPr="00587396" w:rsidRDefault="00587396" w:rsidP="00587396">
            <w:pPr>
              <w:jc w:val="right"/>
              <w:rPr>
                <w:rFonts w:ascii="Arial" w:hAnsi="Arial" w:cs="Arial"/>
                <w:sz w:val="20"/>
                <w:szCs w:val="20"/>
              </w:rPr>
            </w:pPr>
            <w:r w:rsidRPr="00587396">
              <w:rPr>
                <w:rFonts w:ascii="Arial" w:hAnsi="Arial" w:cs="Arial"/>
                <w:sz w:val="20"/>
                <w:szCs w:val="20"/>
              </w:rPr>
              <w:t>2.25</w:t>
            </w:r>
          </w:p>
        </w:tc>
      </w:tr>
      <w:tr w:rsidR="00587396" w:rsidRPr="007C28F4" w14:paraId="3F5C9800" w14:textId="77777777" w:rsidTr="00587396">
        <w:tc>
          <w:tcPr>
            <w:tcW w:w="0" w:type="auto"/>
          </w:tcPr>
          <w:p w14:paraId="0A0F85F8"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3.Wholesale, Transportation, Utilities</w:t>
            </w:r>
          </w:p>
        </w:tc>
        <w:tc>
          <w:tcPr>
            <w:tcW w:w="0" w:type="auto"/>
            <w:vAlign w:val="center"/>
          </w:tcPr>
          <w:p w14:paraId="10932ECC" w14:textId="143BA7BA" w:rsidR="00587396" w:rsidRPr="00587396" w:rsidRDefault="00587396" w:rsidP="00587396">
            <w:pPr>
              <w:jc w:val="right"/>
              <w:rPr>
                <w:rFonts w:ascii="Arial" w:hAnsi="Arial" w:cs="Arial"/>
                <w:sz w:val="20"/>
                <w:szCs w:val="20"/>
              </w:rPr>
            </w:pPr>
            <w:r w:rsidRPr="00587396">
              <w:rPr>
                <w:rFonts w:ascii="Arial" w:hAnsi="Arial" w:cs="Arial"/>
                <w:sz w:val="20"/>
                <w:szCs w:val="20"/>
              </w:rPr>
              <w:t>90</w:t>
            </w:r>
          </w:p>
        </w:tc>
        <w:tc>
          <w:tcPr>
            <w:tcW w:w="0" w:type="auto"/>
            <w:vAlign w:val="center"/>
          </w:tcPr>
          <w:p w14:paraId="79770852" w14:textId="05269F61" w:rsidR="00587396" w:rsidRPr="00587396" w:rsidRDefault="00587396" w:rsidP="00587396">
            <w:pPr>
              <w:jc w:val="right"/>
              <w:rPr>
                <w:rFonts w:ascii="Arial" w:hAnsi="Arial" w:cs="Arial"/>
                <w:sz w:val="20"/>
                <w:szCs w:val="20"/>
              </w:rPr>
            </w:pPr>
            <w:r w:rsidRPr="00587396">
              <w:rPr>
                <w:rFonts w:ascii="Arial" w:hAnsi="Arial" w:cs="Arial"/>
                <w:sz w:val="20"/>
                <w:szCs w:val="20"/>
              </w:rPr>
              <w:t>67.0</w:t>
            </w:r>
          </w:p>
        </w:tc>
        <w:tc>
          <w:tcPr>
            <w:tcW w:w="0" w:type="auto"/>
            <w:vAlign w:val="center"/>
          </w:tcPr>
          <w:p w14:paraId="6687252D" w14:textId="2F5D1923" w:rsidR="00587396" w:rsidRPr="00587396" w:rsidRDefault="00587396" w:rsidP="00587396">
            <w:pPr>
              <w:jc w:val="right"/>
              <w:rPr>
                <w:rFonts w:ascii="Arial" w:hAnsi="Arial" w:cs="Arial"/>
                <w:sz w:val="20"/>
                <w:szCs w:val="20"/>
              </w:rPr>
            </w:pPr>
            <w:r w:rsidRPr="00587396">
              <w:rPr>
                <w:rFonts w:ascii="Arial" w:hAnsi="Arial" w:cs="Arial"/>
                <w:sz w:val="20"/>
                <w:szCs w:val="20"/>
              </w:rPr>
              <w:t>7.9%</w:t>
            </w:r>
          </w:p>
        </w:tc>
        <w:tc>
          <w:tcPr>
            <w:tcW w:w="0" w:type="auto"/>
            <w:vAlign w:val="center"/>
          </w:tcPr>
          <w:p w14:paraId="69AA250F" w14:textId="2EF59EBF" w:rsidR="00587396" w:rsidRPr="00587396" w:rsidRDefault="00587396" w:rsidP="00587396">
            <w:pPr>
              <w:jc w:val="right"/>
              <w:rPr>
                <w:rFonts w:ascii="Arial" w:hAnsi="Arial" w:cs="Arial"/>
                <w:sz w:val="20"/>
                <w:szCs w:val="20"/>
              </w:rPr>
            </w:pPr>
            <w:r w:rsidRPr="00587396">
              <w:rPr>
                <w:rFonts w:ascii="Arial" w:hAnsi="Arial" w:cs="Arial"/>
                <w:sz w:val="20"/>
                <w:szCs w:val="20"/>
              </w:rPr>
              <w:t>0.74</w:t>
            </w:r>
          </w:p>
        </w:tc>
      </w:tr>
      <w:tr w:rsidR="00587396" w:rsidRPr="007C28F4" w14:paraId="588005BD" w14:textId="77777777" w:rsidTr="00587396">
        <w:tc>
          <w:tcPr>
            <w:tcW w:w="0" w:type="auto"/>
          </w:tcPr>
          <w:p w14:paraId="5E4012E3"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4.Retail</w:t>
            </w:r>
          </w:p>
        </w:tc>
        <w:tc>
          <w:tcPr>
            <w:tcW w:w="0" w:type="auto"/>
            <w:vAlign w:val="center"/>
          </w:tcPr>
          <w:p w14:paraId="5B2174F7" w14:textId="3745499F" w:rsidR="00587396" w:rsidRPr="00587396" w:rsidRDefault="00587396" w:rsidP="00587396">
            <w:pPr>
              <w:jc w:val="right"/>
              <w:rPr>
                <w:rFonts w:ascii="Arial" w:hAnsi="Arial" w:cs="Arial"/>
                <w:sz w:val="20"/>
                <w:szCs w:val="20"/>
              </w:rPr>
            </w:pPr>
            <w:r w:rsidRPr="00587396">
              <w:rPr>
                <w:rFonts w:ascii="Arial" w:hAnsi="Arial" w:cs="Arial"/>
                <w:sz w:val="20"/>
                <w:szCs w:val="20"/>
              </w:rPr>
              <w:t>238</w:t>
            </w:r>
          </w:p>
        </w:tc>
        <w:tc>
          <w:tcPr>
            <w:tcW w:w="0" w:type="auto"/>
            <w:vAlign w:val="center"/>
          </w:tcPr>
          <w:p w14:paraId="2D911427" w14:textId="6DA681A6" w:rsidR="00587396" w:rsidRPr="00587396" w:rsidRDefault="00587396" w:rsidP="00587396">
            <w:pPr>
              <w:jc w:val="right"/>
              <w:rPr>
                <w:rFonts w:ascii="Arial" w:hAnsi="Arial" w:cs="Arial"/>
                <w:sz w:val="20"/>
                <w:szCs w:val="20"/>
              </w:rPr>
            </w:pPr>
            <w:r w:rsidRPr="00587396">
              <w:rPr>
                <w:rFonts w:ascii="Arial" w:hAnsi="Arial" w:cs="Arial"/>
                <w:sz w:val="20"/>
                <w:szCs w:val="20"/>
              </w:rPr>
              <w:t>53.5</w:t>
            </w:r>
          </w:p>
        </w:tc>
        <w:tc>
          <w:tcPr>
            <w:tcW w:w="0" w:type="auto"/>
            <w:vAlign w:val="center"/>
          </w:tcPr>
          <w:p w14:paraId="31BEEFA4" w14:textId="579A1E52" w:rsidR="00587396" w:rsidRPr="00587396" w:rsidRDefault="00587396" w:rsidP="00587396">
            <w:pPr>
              <w:jc w:val="right"/>
              <w:rPr>
                <w:rFonts w:ascii="Arial" w:hAnsi="Arial" w:cs="Arial"/>
                <w:sz w:val="20"/>
                <w:szCs w:val="20"/>
              </w:rPr>
            </w:pPr>
            <w:r w:rsidRPr="00587396">
              <w:rPr>
                <w:rFonts w:ascii="Arial" w:hAnsi="Arial" w:cs="Arial"/>
                <w:sz w:val="20"/>
                <w:szCs w:val="20"/>
              </w:rPr>
              <w:t>6.3%</w:t>
            </w:r>
          </w:p>
        </w:tc>
        <w:tc>
          <w:tcPr>
            <w:tcW w:w="0" w:type="auto"/>
            <w:vAlign w:val="center"/>
          </w:tcPr>
          <w:p w14:paraId="04FC2765" w14:textId="249129C5" w:rsidR="00587396" w:rsidRPr="00587396" w:rsidRDefault="00587396" w:rsidP="00587396">
            <w:pPr>
              <w:jc w:val="right"/>
              <w:rPr>
                <w:rFonts w:ascii="Arial" w:hAnsi="Arial" w:cs="Arial"/>
                <w:sz w:val="20"/>
                <w:szCs w:val="20"/>
              </w:rPr>
            </w:pPr>
            <w:r w:rsidRPr="00587396">
              <w:rPr>
                <w:rFonts w:ascii="Arial" w:hAnsi="Arial" w:cs="Arial"/>
                <w:sz w:val="20"/>
                <w:szCs w:val="20"/>
              </w:rPr>
              <w:t>0.23</w:t>
            </w:r>
          </w:p>
        </w:tc>
      </w:tr>
      <w:tr w:rsidR="00587396" w:rsidRPr="007C28F4" w14:paraId="048EDEDF" w14:textId="77777777" w:rsidTr="00587396">
        <w:tc>
          <w:tcPr>
            <w:tcW w:w="0" w:type="auto"/>
            <w:vAlign w:val="center"/>
          </w:tcPr>
          <w:p w14:paraId="4268F867"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5.Offices, Hotels, Health, Services</w:t>
            </w:r>
          </w:p>
        </w:tc>
        <w:tc>
          <w:tcPr>
            <w:tcW w:w="0" w:type="auto"/>
            <w:vAlign w:val="center"/>
          </w:tcPr>
          <w:p w14:paraId="500E71F7" w14:textId="37BA2AEB" w:rsidR="00587396" w:rsidRPr="00587396" w:rsidRDefault="00587396" w:rsidP="00587396">
            <w:pPr>
              <w:jc w:val="right"/>
              <w:rPr>
                <w:rFonts w:ascii="Arial" w:hAnsi="Arial" w:cs="Arial"/>
                <w:sz w:val="20"/>
                <w:szCs w:val="20"/>
              </w:rPr>
            </w:pPr>
            <w:r w:rsidRPr="00587396">
              <w:rPr>
                <w:rFonts w:ascii="Arial" w:hAnsi="Arial" w:cs="Arial"/>
                <w:sz w:val="20"/>
                <w:szCs w:val="20"/>
              </w:rPr>
              <w:t>200</w:t>
            </w:r>
          </w:p>
        </w:tc>
        <w:tc>
          <w:tcPr>
            <w:tcW w:w="0" w:type="auto"/>
            <w:vAlign w:val="center"/>
          </w:tcPr>
          <w:p w14:paraId="5536F5CF" w14:textId="22DFB717" w:rsidR="00587396" w:rsidRPr="00587396" w:rsidRDefault="00587396" w:rsidP="00587396">
            <w:pPr>
              <w:jc w:val="right"/>
              <w:rPr>
                <w:rFonts w:ascii="Arial" w:hAnsi="Arial" w:cs="Arial"/>
                <w:sz w:val="20"/>
                <w:szCs w:val="20"/>
              </w:rPr>
            </w:pPr>
            <w:r w:rsidRPr="00587396">
              <w:rPr>
                <w:rFonts w:ascii="Arial" w:hAnsi="Arial" w:cs="Arial"/>
                <w:sz w:val="20"/>
                <w:szCs w:val="20"/>
              </w:rPr>
              <w:t>141.2</w:t>
            </w:r>
          </w:p>
        </w:tc>
        <w:tc>
          <w:tcPr>
            <w:tcW w:w="0" w:type="auto"/>
            <w:vAlign w:val="center"/>
          </w:tcPr>
          <w:p w14:paraId="3880E150" w14:textId="6B8BCE90" w:rsidR="00587396" w:rsidRPr="00587396" w:rsidRDefault="00587396" w:rsidP="00587396">
            <w:pPr>
              <w:jc w:val="right"/>
              <w:rPr>
                <w:rFonts w:ascii="Arial" w:hAnsi="Arial" w:cs="Arial"/>
                <w:sz w:val="20"/>
                <w:szCs w:val="20"/>
              </w:rPr>
            </w:pPr>
            <w:r w:rsidRPr="00587396">
              <w:rPr>
                <w:rFonts w:ascii="Arial" w:hAnsi="Arial" w:cs="Arial"/>
                <w:sz w:val="20"/>
                <w:szCs w:val="20"/>
              </w:rPr>
              <w:t>16.7%</w:t>
            </w:r>
          </w:p>
        </w:tc>
        <w:tc>
          <w:tcPr>
            <w:tcW w:w="0" w:type="auto"/>
            <w:vAlign w:val="center"/>
          </w:tcPr>
          <w:p w14:paraId="43508F1B" w14:textId="72499E49" w:rsidR="00587396" w:rsidRPr="00587396" w:rsidRDefault="00587396" w:rsidP="00587396">
            <w:pPr>
              <w:jc w:val="right"/>
              <w:rPr>
                <w:rFonts w:ascii="Arial" w:hAnsi="Arial" w:cs="Arial"/>
                <w:sz w:val="20"/>
                <w:szCs w:val="20"/>
              </w:rPr>
            </w:pPr>
            <w:r w:rsidRPr="00587396">
              <w:rPr>
                <w:rFonts w:ascii="Arial" w:hAnsi="Arial" w:cs="Arial"/>
                <w:sz w:val="20"/>
                <w:szCs w:val="20"/>
              </w:rPr>
              <w:t>0.71</w:t>
            </w:r>
          </w:p>
        </w:tc>
      </w:tr>
      <w:tr w:rsidR="00587396" w:rsidRPr="007C28F4" w14:paraId="6F3AB584" w14:textId="77777777" w:rsidTr="00587396">
        <w:tc>
          <w:tcPr>
            <w:tcW w:w="0" w:type="auto"/>
          </w:tcPr>
          <w:p w14:paraId="7808BF3D"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6.Schools</w:t>
            </w:r>
          </w:p>
        </w:tc>
        <w:tc>
          <w:tcPr>
            <w:tcW w:w="0" w:type="auto"/>
            <w:vAlign w:val="center"/>
          </w:tcPr>
          <w:p w14:paraId="029D8A24" w14:textId="740575F5" w:rsidR="00587396" w:rsidRPr="00587396" w:rsidRDefault="00587396" w:rsidP="00587396">
            <w:pPr>
              <w:jc w:val="right"/>
              <w:rPr>
                <w:rFonts w:ascii="Arial" w:hAnsi="Arial" w:cs="Arial"/>
                <w:sz w:val="20"/>
                <w:szCs w:val="20"/>
              </w:rPr>
            </w:pPr>
            <w:r w:rsidRPr="00587396">
              <w:rPr>
                <w:rFonts w:ascii="Arial" w:hAnsi="Arial" w:cs="Arial"/>
                <w:sz w:val="20"/>
                <w:szCs w:val="20"/>
              </w:rPr>
              <w:t>141</w:t>
            </w:r>
          </w:p>
        </w:tc>
        <w:tc>
          <w:tcPr>
            <w:tcW w:w="0" w:type="auto"/>
            <w:vAlign w:val="center"/>
          </w:tcPr>
          <w:p w14:paraId="70C927AB" w14:textId="4565D8B1" w:rsidR="00587396" w:rsidRPr="00587396" w:rsidRDefault="00587396" w:rsidP="00587396">
            <w:pPr>
              <w:jc w:val="right"/>
              <w:rPr>
                <w:rFonts w:ascii="Arial" w:hAnsi="Arial" w:cs="Arial"/>
                <w:sz w:val="20"/>
                <w:szCs w:val="20"/>
              </w:rPr>
            </w:pPr>
            <w:r w:rsidRPr="00587396">
              <w:rPr>
                <w:rFonts w:ascii="Arial" w:hAnsi="Arial" w:cs="Arial"/>
                <w:sz w:val="20"/>
                <w:szCs w:val="20"/>
              </w:rPr>
              <w:t>34.6</w:t>
            </w:r>
          </w:p>
        </w:tc>
        <w:tc>
          <w:tcPr>
            <w:tcW w:w="0" w:type="auto"/>
            <w:vAlign w:val="center"/>
          </w:tcPr>
          <w:p w14:paraId="7003CBD9" w14:textId="25C6D1FC" w:rsidR="00587396" w:rsidRPr="00587396" w:rsidRDefault="00587396" w:rsidP="00587396">
            <w:pPr>
              <w:jc w:val="right"/>
              <w:rPr>
                <w:rFonts w:ascii="Arial" w:hAnsi="Arial" w:cs="Arial"/>
                <w:sz w:val="20"/>
                <w:szCs w:val="20"/>
              </w:rPr>
            </w:pPr>
            <w:r w:rsidRPr="00587396">
              <w:rPr>
                <w:rFonts w:ascii="Arial" w:hAnsi="Arial" w:cs="Arial"/>
                <w:sz w:val="20"/>
                <w:szCs w:val="20"/>
              </w:rPr>
              <w:t>4.1%</w:t>
            </w:r>
          </w:p>
        </w:tc>
        <w:tc>
          <w:tcPr>
            <w:tcW w:w="0" w:type="auto"/>
            <w:vAlign w:val="center"/>
          </w:tcPr>
          <w:p w14:paraId="5CB036FF" w14:textId="5E569F1A" w:rsidR="00587396" w:rsidRPr="00587396" w:rsidRDefault="00587396" w:rsidP="00587396">
            <w:pPr>
              <w:jc w:val="right"/>
              <w:rPr>
                <w:rFonts w:ascii="Arial" w:hAnsi="Arial" w:cs="Arial"/>
                <w:sz w:val="20"/>
                <w:szCs w:val="20"/>
              </w:rPr>
            </w:pPr>
            <w:r w:rsidRPr="00587396">
              <w:rPr>
                <w:rFonts w:ascii="Arial" w:hAnsi="Arial" w:cs="Arial"/>
                <w:sz w:val="20"/>
                <w:szCs w:val="20"/>
              </w:rPr>
              <w:t>0.24</w:t>
            </w:r>
          </w:p>
        </w:tc>
      </w:tr>
      <w:tr w:rsidR="00587396" w:rsidRPr="007C28F4" w14:paraId="4551C0AE" w14:textId="77777777" w:rsidTr="00587396">
        <w:tc>
          <w:tcPr>
            <w:tcW w:w="0" w:type="auto"/>
          </w:tcPr>
          <w:p w14:paraId="3A5283D6" w14:textId="77777777" w:rsidR="00587396" w:rsidRPr="00550E7D" w:rsidRDefault="00587396" w:rsidP="00587396">
            <w:pPr>
              <w:keepNext/>
              <w:keepLines/>
              <w:rPr>
                <w:rFonts w:ascii="Arial" w:hAnsi="Arial" w:cs="Arial"/>
                <w:sz w:val="20"/>
                <w:szCs w:val="20"/>
              </w:rPr>
            </w:pPr>
            <w:r w:rsidRPr="00550E7D">
              <w:rPr>
                <w:rFonts w:ascii="Arial" w:hAnsi="Arial" w:cs="Arial"/>
                <w:sz w:val="20"/>
                <w:szCs w:val="20"/>
              </w:rPr>
              <w:t>7.Entertainment, Other Services, Government.</w:t>
            </w:r>
          </w:p>
        </w:tc>
        <w:tc>
          <w:tcPr>
            <w:tcW w:w="0" w:type="auto"/>
            <w:vAlign w:val="center"/>
          </w:tcPr>
          <w:p w14:paraId="0A987E64" w14:textId="2E02BCFD" w:rsidR="00587396" w:rsidRPr="00587396" w:rsidRDefault="00587396" w:rsidP="00587396">
            <w:pPr>
              <w:jc w:val="right"/>
              <w:rPr>
                <w:rFonts w:ascii="Arial" w:hAnsi="Arial" w:cs="Arial"/>
                <w:sz w:val="20"/>
                <w:szCs w:val="20"/>
              </w:rPr>
            </w:pPr>
          </w:p>
        </w:tc>
        <w:tc>
          <w:tcPr>
            <w:tcW w:w="0" w:type="auto"/>
            <w:vAlign w:val="center"/>
          </w:tcPr>
          <w:p w14:paraId="1735670C" w14:textId="21B814CD" w:rsidR="00587396" w:rsidRPr="00587396" w:rsidRDefault="00587396" w:rsidP="00587396">
            <w:pPr>
              <w:jc w:val="right"/>
              <w:rPr>
                <w:rFonts w:ascii="Arial" w:hAnsi="Arial" w:cs="Arial"/>
                <w:sz w:val="20"/>
                <w:szCs w:val="20"/>
              </w:rPr>
            </w:pPr>
          </w:p>
        </w:tc>
        <w:tc>
          <w:tcPr>
            <w:tcW w:w="0" w:type="auto"/>
            <w:vAlign w:val="center"/>
          </w:tcPr>
          <w:p w14:paraId="76BEEAFB" w14:textId="537745A8" w:rsidR="00587396" w:rsidRPr="00587396" w:rsidRDefault="00587396" w:rsidP="00587396">
            <w:pPr>
              <w:jc w:val="right"/>
              <w:rPr>
                <w:rFonts w:ascii="Arial" w:hAnsi="Arial" w:cs="Arial"/>
                <w:sz w:val="20"/>
                <w:szCs w:val="20"/>
              </w:rPr>
            </w:pPr>
          </w:p>
        </w:tc>
        <w:tc>
          <w:tcPr>
            <w:tcW w:w="0" w:type="auto"/>
            <w:vAlign w:val="center"/>
          </w:tcPr>
          <w:p w14:paraId="1549A529" w14:textId="39C19B80" w:rsidR="00587396" w:rsidRPr="00587396" w:rsidRDefault="00587396" w:rsidP="00587396">
            <w:pPr>
              <w:jc w:val="right"/>
              <w:rPr>
                <w:rFonts w:ascii="Arial" w:hAnsi="Arial" w:cs="Arial"/>
                <w:sz w:val="20"/>
                <w:szCs w:val="20"/>
              </w:rPr>
            </w:pPr>
          </w:p>
        </w:tc>
      </w:tr>
      <w:tr w:rsidR="00587396" w:rsidRPr="00846569" w14:paraId="74AD20CE" w14:textId="77777777" w:rsidTr="00587396">
        <w:tc>
          <w:tcPr>
            <w:tcW w:w="0" w:type="auto"/>
          </w:tcPr>
          <w:p w14:paraId="6C59A22F" w14:textId="77777777" w:rsidR="00587396" w:rsidRPr="00550E7D" w:rsidRDefault="00587396" w:rsidP="00587396">
            <w:pPr>
              <w:keepNext/>
              <w:keepLines/>
              <w:rPr>
                <w:rFonts w:ascii="Arial" w:hAnsi="Arial" w:cs="Arial"/>
                <w:b/>
                <w:sz w:val="20"/>
                <w:szCs w:val="20"/>
              </w:rPr>
            </w:pPr>
            <w:r w:rsidRPr="00550E7D">
              <w:rPr>
                <w:rFonts w:ascii="Arial" w:hAnsi="Arial" w:cs="Arial"/>
                <w:b/>
                <w:sz w:val="20"/>
                <w:szCs w:val="20"/>
              </w:rPr>
              <w:t>TOTAL</w:t>
            </w:r>
          </w:p>
        </w:tc>
        <w:tc>
          <w:tcPr>
            <w:tcW w:w="0" w:type="auto"/>
            <w:vAlign w:val="center"/>
          </w:tcPr>
          <w:p w14:paraId="45AFD026" w14:textId="012DDDBD" w:rsidR="00587396" w:rsidRPr="00587396" w:rsidRDefault="00587396" w:rsidP="00587396">
            <w:pPr>
              <w:jc w:val="right"/>
              <w:rPr>
                <w:rFonts w:ascii="Arial" w:hAnsi="Arial" w:cs="Arial"/>
                <w:b/>
                <w:sz w:val="20"/>
                <w:szCs w:val="20"/>
              </w:rPr>
            </w:pPr>
            <w:r w:rsidRPr="00587396">
              <w:rPr>
                <w:rFonts w:ascii="Arial" w:hAnsi="Arial" w:cs="Arial"/>
                <w:b/>
                <w:sz w:val="20"/>
                <w:szCs w:val="20"/>
              </w:rPr>
              <w:t>944</w:t>
            </w:r>
          </w:p>
        </w:tc>
        <w:tc>
          <w:tcPr>
            <w:tcW w:w="0" w:type="auto"/>
            <w:vAlign w:val="center"/>
          </w:tcPr>
          <w:p w14:paraId="04D10B03" w14:textId="3D9B3148" w:rsidR="00587396" w:rsidRPr="00587396" w:rsidRDefault="00587396" w:rsidP="00587396">
            <w:pPr>
              <w:jc w:val="right"/>
              <w:rPr>
                <w:rFonts w:ascii="Arial" w:hAnsi="Arial" w:cs="Arial"/>
                <w:b/>
                <w:sz w:val="20"/>
                <w:szCs w:val="20"/>
              </w:rPr>
            </w:pPr>
            <w:r w:rsidRPr="00587396">
              <w:rPr>
                <w:rFonts w:ascii="Arial" w:hAnsi="Arial" w:cs="Arial"/>
                <w:b/>
                <w:sz w:val="20"/>
                <w:szCs w:val="20"/>
              </w:rPr>
              <w:t>846.8</w:t>
            </w:r>
          </w:p>
        </w:tc>
        <w:tc>
          <w:tcPr>
            <w:tcW w:w="0" w:type="auto"/>
            <w:vAlign w:val="center"/>
          </w:tcPr>
          <w:p w14:paraId="62A03752" w14:textId="77777777" w:rsidR="00587396" w:rsidRPr="00587396" w:rsidRDefault="00587396" w:rsidP="00587396">
            <w:pPr>
              <w:jc w:val="right"/>
              <w:rPr>
                <w:rFonts w:ascii="Arial" w:hAnsi="Arial" w:cs="Arial"/>
                <w:b/>
                <w:sz w:val="20"/>
                <w:szCs w:val="20"/>
              </w:rPr>
            </w:pPr>
          </w:p>
        </w:tc>
        <w:tc>
          <w:tcPr>
            <w:tcW w:w="0" w:type="auto"/>
            <w:vAlign w:val="center"/>
          </w:tcPr>
          <w:p w14:paraId="37773EB3" w14:textId="776EC7E2" w:rsidR="00587396" w:rsidRPr="00587396" w:rsidRDefault="00587396" w:rsidP="00587396">
            <w:pPr>
              <w:jc w:val="right"/>
              <w:rPr>
                <w:rFonts w:ascii="Arial" w:hAnsi="Arial" w:cs="Arial"/>
                <w:b/>
                <w:sz w:val="20"/>
                <w:szCs w:val="20"/>
              </w:rPr>
            </w:pPr>
            <w:r w:rsidRPr="00587396">
              <w:rPr>
                <w:rFonts w:ascii="Arial" w:hAnsi="Arial" w:cs="Arial"/>
                <w:b/>
                <w:sz w:val="20"/>
                <w:szCs w:val="20"/>
              </w:rPr>
              <w:t>0.90</w:t>
            </w:r>
          </w:p>
        </w:tc>
      </w:tr>
    </w:tbl>
    <w:p w14:paraId="30D07F7D" w14:textId="77777777" w:rsidR="0007241B" w:rsidRDefault="0007241B" w:rsidP="005839AE"/>
    <w:p w14:paraId="49B7B39A" w14:textId="3548230C" w:rsidR="007469E5" w:rsidRDefault="00321E09" w:rsidP="005839AE">
      <w:r>
        <w:t>Tables 2.3 and 2.4 show DBP enrollment by local capacity area for PG&amp;E and SCE</w:t>
      </w:r>
      <w:r w:rsidR="002A4A62">
        <w:t xml:space="preserve">, </w:t>
      </w:r>
      <w:r>
        <w:t>respectively.</w:t>
      </w:r>
      <w:r w:rsidR="00A54F76">
        <w:t xml:space="preserve"> Note that some </w:t>
      </w:r>
      <w:r w:rsidR="00A54F76" w:rsidRPr="00C749DA">
        <w:t>results have been removed due to confidentiality concerns.</w:t>
      </w:r>
    </w:p>
    <w:p w14:paraId="277208F1" w14:textId="77777777" w:rsidR="00321E09" w:rsidRPr="00852320" w:rsidRDefault="00321E09" w:rsidP="00FA5E38">
      <w:pPr>
        <w:pStyle w:val="TableCaption"/>
        <w:keepNext/>
        <w:keepLines/>
        <w:rPr>
          <w:i/>
        </w:rPr>
      </w:pPr>
      <w:bookmarkStart w:id="79" w:name="_Toc415761868"/>
      <w:r w:rsidRPr="00852320">
        <w:lastRenderedPageBreak/>
        <w:t>Table 2.3: DBP Enrollees by Local Capacity Area</w:t>
      </w:r>
      <w:r w:rsidR="00E32794" w:rsidRPr="00852320">
        <w:t xml:space="preserve">, </w:t>
      </w:r>
      <w:r w:rsidRPr="00852320">
        <w:rPr>
          <w:i/>
        </w:rPr>
        <w:t>PG&amp;E</w:t>
      </w:r>
      <w:bookmarkEnd w:id="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413"/>
        <w:gridCol w:w="1750"/>
        <w:gridCol w:w="1494"/>
        <w:gridCol w:w="1495"/>
      </w:tblGrid>
      <w:tr w:rsidR="0063082C" w:rsidRPr="00FF45E1" w14:paraId="4A122980" w14:textId="77777777" w:rsidTr="0005199B">
        <w:trPr>
          <w:jc w:val="center"/>
        </w:trPr>
        <w:tc>
          <w:tcPr>
            <w:tcW w:w="2088" w:type="dxa"/>
            <w:shd w:val="clear" w:color="auto" w:fill="D9E2F3"/>
            <w:vAlign w:val="center"/>
          </w:tcPr>
          <w:p w14:paraId="5CCDD1E7"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Local Capacity Area</w:t>
            </w:r>
          </w:p>
        </w:tc>
        <w:tc>
          <w:tcPr>
            <w:tcW w:w="1413" w:type="dxa"/>
            <w:shd w:val="clear" w:color="auto" w:fill="D9E2F3"/>
            <w:vAlign w:val="center"/>
          </w:tcPr>
          <w:p w14:paraId="5EFA6847" w14:textId="77777777" w:rsidR="0063082C" w:rsidRPr="007E0A27" w:rsidRDefault="0063082C" w:rsidP="00FA5E38">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477F5212"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 xml:space="preserve">Sum of Max </w:t>
            </w:r>
            <w:r>
              <w:rPr>
                <w:rFonts w:ascii="Arial" w:hAnsi="Arial" w:cs="Arial"/>
                <w:b/>
                <w:sz w:val="20"/>
                <w:szCs w:val="20"/>
              </w:rPr>
              <w:t>M</w:t>
            </w:r>
            <w:r w:rsidRPr="007E0A27">
              <w:rPr>
                <w:rFonts w:ascii="Arial" w:hAnsi="Arial" w:cs="Arial"/>
                <w:b/>
                <w:sz w:val="20"/>
                <w:szCs w:val="20"/>
              </w:rPr>
              <w:t>W</w:t>
            </w:r>
          </w:p>
        </w:tc>
        <w:tc>
          <w:tcPr>
            <w:tcW w:w="0" w:type="auto"/>
            <w:shd w:val="clear" w:color="auto" w:fill="D9E2F3"/>
            <w:vAlign w:val="center"/>
          </w:tcPr>
          <w:p w14:paraId="7A7C540D"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 xml:space="preserve">% of Max </w:t>
            </w:r>
            <w:r>
              <w:rPr>
                <w:rFonts w:ascii="Arial" w:hAnsi="Arial" w:cs="Arial"/>
                <w:b/>
                <w:sz w:val="20"/>
                <w:szCs w:val="20"/>
              </w:rPr>
              <w:t>M</w:t>
            </w:r>
            <w:r w:rsidRPr="007E0A27">
              <w:rPr>
                <w:rFonts w:ascii="Arial" w:hAnsi="Arial" w:cs="Arial"/>
                <w:b/>
                <w:sz w:val="20"/>
                <w:szCs w:val="20"/>
              </w:rPr>
              <w:t>W</w:t>
            </w:r>
          </w:p>
        </w:tc>
        <w:tc>
          <w:tcPr>
            <w:tcW w:w="0" w:type="auto"/>
            <w:shd w:val="clear" w:color="auto" w:fill="D9E2F3"/>
            <w:vAlign w:val="center"/>
          </w:tcPr>
          <w:p w14:paraId="0EB17CEC"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 xml:space="preserve">Ave. </w:t>
            </w:r>
            <w:r>
              <w:rPr>
                <w:rFonts w:ascii="Arial" w:hAnsi="Arial" w:cs="Arial"/>
                <w:b/>
                <w:sz w:val="20"/>
                <w:szCs w:val="20"/>
              </w:rPr>
              <w:t>Max M</w:t>
            </w:r>
            <w:r w:rsidRPr="007E0A27">
              <w:rPr>
                <w:rFonts w:ascii="Arial" w:hAnsi="Arial" w:cs="Arial"/>
                <w:b/>
                <w:sz w:val="20"/>
                <w:szCs w:val="20"/>
              </w:rPr>
              <w:t>W</w:t>
            </w:r>
          </w:p>
        </w:tc>
      </w:tr>
      <w:tr w:rsidR="00D9388E" w:rsidRPr="00FF45E1" w14:paraId="2DACDC00" w14:textId="77777777" w:rsidTr="0078642D">
        <w:trPr>
          <w:jc w:val="center"/>
        </w:trPr>
        <w:tc>
          <w:tcPr>
            <w:tcW w:w="2088" w:type="dxa"/>
            <w:vAlign w:val="bottom"/>
          </w:tcPr>
          <w:p w14:paraId="35CEDD15"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Greater Bay Area</w:t>
            </w:r>
          </w:p>
        </w:tc>
        <w:tc>
          <w:tcPr>
            <w:tcW w:w="1413" w:type="dxa"/>
          </w:tcPr>
          <w:p w14:paraId="5C043057" w14:textId="666B34D9"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400</w:t>
            </w:r>
          </w:p>
        </w:tc>
        <w:tc>
          <w:tcPr>
            <w:tcW w:w="0" w:type="auto"/>
          </w:tcPr>
          <w:p w14:paraId="27BF5EE9" w14:textId="1392A1BC"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274</w:t>
            </w:r>
          </w:p>
        </w:tc>
        <w:tc>
          <w:tcPr>
            <w:tcW w:w="0" w:type="auto"/>
          </w:tcPr>
          <w:p w14:paraId="73A8DA4C" w14:textId="4A17B2B6"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40.7%</w:t>
            </w:r>
          </w:p>
        </w:tc>
        <w:tc>
          <w:tcPr>
            <w:tcW w:w="0" w:type="auto"/>
          </w:tcPr>
          <w:p w14:paraId="2FCB84A8" w14:textId="66410F3A"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0.68</w:t>
            </w:r>
          </w:p>
        </w:tc>
      </w:tr>
      <w:tr w:rsidR="00D9388E" w:rsidRPr="00FF45E1" w14:paraId="22027864" w14:textId="77777777" w:rsidTr="0078642D">
        <w:trPr>
          <w:jc w:val="center"/>
        </w:trPr>
        <w:tc>
          <w:tcPr>
            <w:tcW w:w="2088" w:type="dxa"/>
            <w:vAlign w:val="bottom"/>
          </w:tcPr>
          <w:p w14:paraId="5B80C3F7"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 xml:space="preserve">Greater </w:t>
            </w:r>
            <w:smartTag w:uri="urn:schemas-microsoft-com:office:smarttags" w:element="place">
              <w:smartTag w:uri="urn:schemas-microsoft-com:office:smarttags" w:element="City">
                <w:r w:rsidRPr="007E0A27">
                  <w:rPr>
                    <w:rFonts w:ascii="Arial" w:hAnsi="Arial" w:cs="Arial"/>
                    <w:sz w:val="20"/>
                    <w:szCs w:val="20"/>
                  </w:rPr>
                  <w:t>Fresno</w:t>
                </w:r>
              </w:smartTag>
            </w:smartTag>
          </w:p>
        </w:tc>
        <w:tc>
          <w:tcPr>
            <w:tcW w:w="1413" w:type="dxa"/>
          </w:tcPr>
          <w:p w14:paraId="75EABE02" w14:textId="6426AAB5" w:rsidR="00D9388E" w:rsidRPr="00D9388E" w:rsidRDefault="00D9388E" w:rsidP="00D9388E">
            <w:pPr>
              <w:keepNext/>
              <w:keepLines/>
              <w:jc w:val="right"/>
              <w:rPr>
                <w:rFonts w:ascii="Arial" w:hAnsi="Arial" w:cs="Arial"/>
                <w:sz w:val="20"/>
                <w:szCs w:val="20"/>
              </w:rPr>
            </w:pPr>
          </w:p>
        </w:tc>
        <w:tc>
          <w:tcPr>
            <w:tcW w:w="0" w:type="auto"/>
          </w:tcPr>
          <w:p w14:paraId="4988466A" w14:textId="29F62CF0" w:rsidR="00D9388E" w:rsidRPr="00D9388E" w:rsidRDefault="00D9388E" w:rsidP="00D9388E">
            <w:pPr>
              <w:keepNext/>
              <w:keepLines/>
              <w:jc w:val="right"/>
              <w:rPr>
                <w:rFonts w:ascii="Arial" w:hAnsi="Arial" w:cs="Arial"/>
                <w:sz w:val="20"/>
                <w:szCs w:val="20"/>
              </w:rPr>
            </w:pPr>
          </w:p>
        </w:tc>
        <w:tc>
          <w:tcPr>
            <w:tcW w:w="0" w:type="auto"/>
          </w:tcPr>
          <w:p w14:paraId="0C023BBC" w14:textId="65D4A621" w:rsidR="00D9388E" w:rsidRPr="00D9388E" w:rsidRDefault="00D9388E" w:rsidP="00D9388E">
            <w:pPr>
              <w:keepNext/>
              <w:keepLines/>
              <w:jc w:val="right"/>
              <w:rPr>
                <w:rFonts w:ascii="Arial" w:hAnsi="Arial" w:cs="Arial"/>
                <w:sz w:val="20"/>
                <w:szCs w:val="20"/>
              </w:rPr>
            </w:pPr>
          </w:p>
        </w:tc>
        <w:tc>
          <w:tcPr>
            <w:tcW w:w="0" w:type="auto"/>
          </w:tcPr>
          <w:p w14:paraId="4CBA4C00" w14:textId="173EF89F" w:rsidR="00D9388E" w:rsidRPr="00D9388E" w:rsidRDefault="00D9388E" w:rsidP="00D9388E">
            <w:pPr>
              <w:keepNext/>
              <w:keepLines/>
              <w:jc w:val="right"/>
              <w:rPr>
                <w:rFonts w:ascii="Arial" w:hAnsi="Arial" w:cs="Arial"/>
                <w:sz w:val="20"/>
                <w:szCs w:val="20"/>
              </w:rPr>
            </w:pPr>
          </w:p>
        </w:tc>
      </w:tr>
      <w:tr w:rsidR="00D9388E" w:rsidRPr="00FF45E1" w14:paraId="6343BF7E" w14:textId="77777777" w:rsidTr="0078642D">
        <w:trPr>
          <w:jc w:val="center"/>
        </w:trPr>
        <w:tc>
          <w:tcPr>
            <w:tcW w:w="2088" w:type="dxa"/>
            <w:vAlign w:val="bottom"/>
          </w:tcPr>
          <w:p w14:paraId="53D14661"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Humboldt</w:t>
            </w:r>
          </w:p>
        </w:tc>
        <w:tc>
          <w:tcPr>
            <w:tcW w:w="1413" w:type="dxa"/>
          </w:tcPr>
          <w:p w14:paraId="1E85DDF8" w14:textId="711E338F" w:rsidR="00D9388E" w:rsidRPr="00D9388E" w:rsidRDefault="00D9388E" w:rsidP="00D9388E">
            <w:pPr>
              <w:keepNext/>
              <w:keepLines/>
              <w:jc w:val="right"/>
              <w:rPr>
                <w:rFonts w:ascii="Arial" w:hAnsi="Arial" w:cs="Arial"/>
                <w:sz w:val="20"/>
                <w:szCs w:val="20"/>
              </w:rPr>
            </w:pPr>
          </w:p>
        </w:tc>
        <w:tc>
          <w:tcPr>
            <w:tcW w:w="0" w:type="auto"/>
          </w:tcPr>
          <w:p w14:paraId="10A127B2" w14:textId="055A37E0" w:rsidR="00D9388E" w:rsidRPr="00D9388E" w:rsidRDefault="00D9388E" w:rsidP="00D9388E">
            <w:pPr>
              <w:keepNext/>
              <w:keepLines/>
              <w:jc w:val="right"/>
              <w:rPr>
                <w:rFonts w:ascii="Arial" w:hAnsi="Arial" w:cs="Arial"/>
                <w:sz w:val="20"/>
                <w:szCs w:val="20"/>
              </w:rPr>
            </w:pPr>
          </w:p>
        </w:tc>
        <w:tc>
          <w:tcPr>
            <w:tcW w:w="0" w:type="auto"/>
          </w:tcPr>
          <w:p w14:paraId="117C9EC6" w14:textId="6EE94072" w:rsidR="00D9388E" w:rsidRPr="00D9388E" w:rsidRDefault="00D9388E" w:rsidP="00D9388E">
            <w:pPr>
              <w:keepNext/>
              <w:keepLines/>
              <w:jc w:val="right"/>
              <w:rPr>
                <w:rFonts w:ascii="Arial" w:hAnsi="Arial" w:cs="Arial"/>
                <w:sz w:val="20"/>
                <w:szCs w:val="20"/>
              </w:rPr>
            </w:pPr>
          </w:p>
        </w:tc>
        <w:tc>
          <w:tcPr>
            <w:tcW w:w="0" w:type="auto"/>
          </w:tcPr>
          <w:p w14:paraId="74E3D3DD" w14:textId="3A6FD272" w:rsidR="00D9388E" w:rsidRPr="00D9388E" w:rsidRDefault="00D9388E" w:rsidP="00D9388E">
            <w:pPr>
              <w:keepNext/>
              <w:keepLines/>
              <w:jc w:val="right"/>
              <w:rPr>
                <w:rFonts w:ascii="Arial" w:hAnsi="Arial" w:cs="Arial"/>
                <w:sz w:val="20"/>
                <w:szCs w:val="20"/>
              </w:rPr>
            </w:pPr>
          </w:p>
        </w:tc>
      </w:tr>
      <w:tr w:rsidR="00D9388E" w:rsidRPr="00FF45E1" w14:paraId="75C21800" w14:textId="77777777" w:rsidTr="0078642D">
        <w:trPr>
          <w:jc w:val="center"/>
        </w:trPr>
        <w:tc>
          <w:tcPr>
            <w:tcW w:w="2088" w:type="dxa"/>
            <w:vAlign w:val="bottom"/>
          </w:tcPr>
          <w:p w14:paraId="39162881"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Kern</w:t>
            </w:r>
          </w:p>
        </w:tc>
        <w:tc>
          <w:tcPr>
            <w:tcW w:w="1413" w:type="dxa"/>
          </w:tcPr>
          <w:p w14:paraId="221CADA3" w14:textId="1B7A00F1" w:rsidR="00D9388E" w:rsidRPr="00D9388E" w:rsidRDefault="00D9388E" w:rsidP="00D9388E">
            <w:pPr>
              <w:keepNext/>
              <w:keepLines/>
              <w:jc w:val="right"/>
              <w:rPr>
                <w:rFonts w:ascii="Arial" w:hAnsi="Arial" w:cs="Arial"/>
                <w:sz w:val="20"/>
                <w:szCs w:val="20"/>
              </w:rPr>
            </w:pPr>
          </w:p>
        </w:tc>
        <w:tc>
          <w:tcPr>
            <w:tcW w:w="0" w:type="auto"/>
          </w:tcPr>
          <w:p w14:paraId="413E18B6" w14:textId="69772958" w:rsidR="00D9388E" w:rsidRPr="00D9388E" w:rsidRDefault="00D9388E" w:rsidP="00D9388E">
            <w:pPr>
              <w:keepNext/>
              <w:keepLines/>
              <w:jc w:val="right"/>
              <w:rPr>
                <w:rFonts w:ascii="Arial" w:hAnsi="Arial" w:cs="Arial"/>
                <w:sz w:val="20"/>
                <w:szCs w:val="20"/>
              </w:rPr>
            </w:pPr>
          </w:p>
        </w:tc>
        <w:tc>
          <w:tcPr>
            <w:tcW w:w="0" w:type="auto"/>
          </w:tcPr>
          <w:p w14:paraId="0646D770" w14:textId="3C42CB1F" w:rsidR="00D9388E" w:rsidRPr="00D9388E" w:rsidRDefault="00D9388E" w:rsidP="00D9388E">
            <w:pPr>
              <w:keepNext/>
              <w:keepLines/>
              <w:jc w:val="right"/>
              <w:rPr>
                <w:rFonts w:ascii="Arial" w:hAnsi="Arial" w:cs="Arial"/>
                <w:sz w:val="20"/>
                <w:szCs w:val="20"/>
              </w:rPr>
            </w:pPr>
          </w:p>
        </w:tc>
        <w:tc>
          <w:tcPr>
            <w:tcW w:w="0" w:type="auto"/>
          </w:tcPr>
          <w:p w14:paraId="66C38494" w14:textId="2EACF514" w:rsidR="00D9388E" w:rsidRPr="00D9388E" w:rsidRDefault="00D9388E" w:rsidP="00D9388E">
            <w:pPr>
              <w:keepNext/>
              <w:keepLines/>
              <w:jc w:val="right"/>
              <w:rPr>
                <w:rFonts w:ascii="Arial" w:hAnsi="Arial" w:cs="Arial"/>
                <w:sz w:val="20"/>
                <w:szCs w:val="20"/>
              </w:rPr>
            </w:pPr>
          </w:p>
        </w:tc>
      </w:tr>
      <w:tr w:rsidR="00D9388E" w:rsidRPr="00FF45E1" w14:paraId="4212DC4A" w14:textId="77777777" w:rsidTr="0078642D">
        <w:trPr>
          <w:jc w:val="center"/>
        </w:trPr>
        <w:tc>
          <w:tcPr>
            <w:tcW w:w="2088" w:type="dxa"/>
            <w:vAlign w:val="bottom"/>
          </w:tcPr>
          <w:p w14:paraId="321FA9F8"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Northern Coast</w:t>
            </w:r>
          </w:p>
        </w:tc>
        <w:tc>
          <w:tcPr>
            <w:tcW w:w="1413" w:type="dxa"/>
          </w:tcPr>
          <w:p w14:paraId="03C84D37" w14:textId="12E1A3FF"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48</w:t>
            </w:r>
          </w:p>
        </w:tc>
        <w:tc>
          <w:tcPr>
            <w:tcW w:w="0" w:type="auto"/>
          </w:tcPr>
          <w:p w14:paraId="3646DA59" w14:textId="13209C60"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20</w:t>
            </w:r>
          </w:p>
        </w:tc>
        <w:tc>
          <w:tcPr>
            <w:tcW w:w="0" w:type="auto"/>
          </w:tcPr>
          <w:p w14:paraId="573357FB" w14:textId="7620FB2C"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2.9%</w:t>
            </w:r>
          </w:p>
        </w:tc>
        <w:tc>
          <w:tcPr>
            <w:tcW w:w="0" w:type="auto"/>
          </w:tcPr>
          <w:p w14:paraId="67C3153E" w14:textId="38244C1E"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0.41</w:t>
            </w:r>
          </w:p>
        </w:tc>
      </w:tr>
      <w:tr w:rsidR="00D9388E" w:rsidRPr="00FF45E1" w14:paraId="00AF6161" w14:textId="77777777" w:rsidTr="0078642D">
        <w:trPr>
          <w:jc w:val="center"/>
        </w:trPr>
        <w:tc>
          <w:tcPr>
            <w:tcW w:w="2088" w:type="dxa"/>
            <w:vAlign w:val="bottom"/>
          </w:tcPr>
          <w:p w14:paraId="6899EAE2"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Not in any LCA</w:t>
            </w:r>
          </w:p>
        </w:tc>
        <w:tc>
          <w:tcPr>
            <w:tcW w:w="1413" w:type="dxa"/>
          </w:tcPr>
          <w:p w14:paraId="73D4BE6F" w14:textId="14FA0CAD"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247</w:t>
            </w:r>
          </w:p>
        </w:tc>
        <w:tc>
          <w:tcPr>
            <w:tcW w:w="0" w:type="auto"/>
          </w:tcPr>
          <w:p w14:paraId="439A9C77" w14:textId="4F5C5552" w:rsidR="00D9388E" w:rsidRPr="00D9388E" w:rsidRDefault="00D9388E" w:rsidP="00F97709">
            <w:pPr>
              <w:keepNext/>
              <w:keepLines/>
              <w:jc w:val="right"/>
              <w:rPr>
                <w:rFonts w:ascii="Arial" w:hAnsi="Arial" w:cs="Arial"/>
                <w:sz w:val="20"/>
                <w:szCs w:val="20"/>
              </w:rPr>
            </w:pPr>
            <w:r w:rsidRPr="00D9388E">
              <w:rPr>
                <w:rFonts w:ascii="Arial" w:hAnsi="Arial" w:cs="Arial"/>
                <w:sz w:val="20"/>
                <w:szCs w:val="20"/>
              </w:rPr>
              <w:t>31</w:t>
            </w:r>
            <w:r w:rsidR="00F97709">
              <w:rPr>
                <w:rFonts w:ascii="Arial" w:hAnsi="Arial" w:cs="Arial"/>
                <w:sz w:val="20"/>
                <w:szCs w:val="20"/>
              </w:rPr>
              <w:t>1</w:t>
            </w:r>
          </w:p>
        </w:tc>
        <w:tc>
          <w:tcPr>
            <w:tcW w:w="0" w:type="auto"/>
          </w:tcPr>
          <w:p w14:paraId="1D7149B0" w14:textId="7417E344"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46.1%</w:t>
            </w:r>
          </w:p>
        </w:tc>
        <w:tc>
          <w:tcPr>
            <w:tcW w:w="0" w:type="auto"/>
          </w:tcPr>
          <w:p w14:paraId="1E24B138" w14:textId="06FDC486" w:rsidR="00D9388E" w:rsidRPr="00D9388E" w:rsidRDefault="00D9388E" w:rsidP="00D9388E">
            <w:pPr>
              <w:keepNext/>
              <w:keepLines/>
              <w:jc w:val="right"/>
              <w:rPr>
                <w:rFonts w:ascii="Arial" w:hAnsi="Arial" w:cs="Arial"/>
                <w:sz w:val="20"/>
                <w:szCs w:val="20"/>
              </w:rPr>
            </w:pPr>
            <w:r w:rsidRPr="00D9388E">
              <w:rPr>
                <w:rFonts w:ascii="Arial" w:hAnsi="Arial" w:cs="Arial"/>
                <w:sz w:val="20"/>
                <w:szCs w:val="20"/>
              </w:rPr>
              <w:t>1.26</w:t>
            </w:r>
          </w:p>
        </w:tc>
      </w:tr>
      <w:tr w:rsidR="00D9388E" w:rsidRPr="00FF45E1" w14:paraId="52D9E8AC" w14:textId="77777777" w:rsidTr="0078642D">
        <w:trPr>
          <w:jc w:val="center"/>
        </w:trPr>
        <w:tc>
          <w:tcPr>
            <w:tcW w:w="2088" w:type="dxa"/>
            <w:vAlign w:val="bottom"/>
          </w:tcPr>
          <w:p w14:paraId="633763E8" w14:textId="77777777" w:rsidR="00D9388E" w:rsidRPr="007E0A27" w:rsidRDefault="00D9388E" w:rsidP="00D9388E">
            <w:pPr>
              <w:keepNext/>
              <w:keepLines/>
              <w:rPr>
                <w:rFonts w:ascii="Arial" w:hAnsi="Arial" w:cs="Arial"/>
                <w:sz w:val="20"/>
                <w:szCs w:val="20"/>
              </w:rPr>
            </w:pPr>
            <w:r w:rsidRPr="007E0A27">
              <w:rPr>
                <w:rFonts w:ascii="Arial" w:hAnsi="Arial" w:cs="Arial"/>
                <w:sz w:val="20"/>
                <w:szCs w:val="20"/>
              </w:rPr>
              <w:t>Sierra</w:t>
            </w:r>
          </w:p>
        </w:tc>
        <w:tc>
          <w:tcPr>
            <w:tcW w:w="1413" w:type="dxa"/>
          </w:tcPr>
          <w:p w14:paraId="5F00B8C9" w14:textId="0B6125FF" w:rsidR="00D9388E" w:rsidRPr="00D9388E" w:rsidRDefault="00D9388E" w:rsidP="00D9388E">
            <w:pPr>
              <w:keepNext/>
              <w:keepLines/>
              <w:jc w:val="right"/>
              <w:rPr>
                <w:rFonts w:ascii="Arial" w:hAnsi="Arial" w:cs="Arial"/>
                <w:sz w:val="20"/>
                <w:szCs w:val="20"/>
              </w:rPr>
            </w:pPr>
          </w:p>
        </w:tc>
        <w:tc>
          <w:tcPr>
            <w:tcW w:w="0" w:type="auto"/>
          </w:tcPr>
          <w:p w14:paraId="39BDE5D7" w14:textId="48E16EB6" w:rsidR="00D9388E" w:rsidRPr="00D9388E" w:rsidRDefault="00D9388E" w:rsidP="00D9388E">
            <w:pPr>
              <w:keepNext/>
              <w:keepLines/>
              <w:jc w:val="right"/>
              <w:rPr>
                <w:rFonts w:ascii="Arial" w:hAnsi="Arial" w:cs="Arial"/>
                <w:sz w:val="20"/>
                <w:szCs w:val="20"/>
              </w:rPr>
            </w:pPr>
          </w:p>
        </w:tc>
        <w:tc>
          <w:tcPr>
            <w:tcW w:w="0" w:type="auto"/>
          </w:tcPr>
          <w:p w14:paraId="45273562" w14:textId="63E0F9F1" w:rsidR="00D9388E" w:rsidRPr="00D9388E" w:rsidRDefault="00D9388E" w:rsidP="00D9388E">
            <w:pPr>
              <w:keepNext/>
              <w:keepLines/>
              <w:jc w:val="right"/>
              <w:rPr>
                <w:rFonts w:ascii="Arial" w:hAnsi="Arial" w:cs="Arial"/>
                <w:sz w:val="20"/>
                <w:szCs w:val="20"/>
              </w:rPr>
            </w:pPr>
          </w:p>
        </w:tc>
        <w:tc>
          <w:tcPr>
            <w:tcW w:w="0" w:type="auto"/>
          </w:tcPr>
          <w:p w14:paraId="0C37C6FF" w14:textId="3282ED93" w:rsidR="00D9388E" w:rsidRPr="00D9388E" w:rsidRDefault="00D9388E" w:rsidP="00D9388E">
            <w:pPr>
              <w:keepNext/>
              <w:keepLines/>
              <w:jc w:val="right"/>
              <w:rPr>
                <w:rFonts w:ascii="Arial" w:hAnsi="Arial" w:cs="Arial"/>
                <w:sz w:val="20"/>
                <w:szCs w:val="20"/>
              </w:rPr>
            </w:pPr>
          </w:p>
        </w:tc>
      </w:tr>
      <w:tr w:rsidR="00D9388E" w:rsidRPr="00FF45E1" w14:paraId="66AB9549" w14:textId="77777777" w:rsidTr="0078642D">
        <w:trPr>
          <w:jc w:val="center"/>
        </w:trPr>
        <w:tc>
          <w:tcPr>
            <w:tcW w:w="2088" w:type="dxa"/>
            <w:vAlign w:val="bottom"/>
          </w:tcPr>
          <w:p w14:paraId="0CBFE5A1" w14:textId="77777777" w:rsidR="00D9388E" w:rsidRPr="007E0A27" w:rsidRDefault="00D9388E" w:rsidP="00D9388E">
            <w:pPr>
              <w:keepNext/>
              <w:keepLines/>
              <w:rPr>
                <w:rFonts w:ascii="Arial" w:hAnsi="Arial" w:cs="Arial"/>
                <w:sz w:val="20"/>
                <w:szCs w:val="20"/>
              </w:rPr>
            </w:pPr>
            <w:smartTag w:uri="urn:schemas-microsoft-com:office:smarttags" w:element="place">
              <w:smartTag w:uri="urn:schemas-microsoft-com:office:smarttags" w:element="City">
                <w:r w:rsidRPr="007E0A27">
                  <w:rPr>
                    <w:rFonts w:ascii="Arial" w:hAnsi="Arial" w:cs="Arial"/>
                    <w:sz w:val="20"/>
                    <w:szCs w:val="20"/>
                  </w:rPr>
                  <w:t>Stockton</w:t>
                </w:r>
              </w:smartTag>
            </w:smartTag>
          </w:p>
        </w:tc>
        <w:tc>
          <w:tcPr>
            <w:tcW w:w="1413" w:type="dxa"/>
          </w:tcPr>
          <w:p w14:paraId="38D90E7B" w14:textId="3600D7AF" w:rsidR="00D9388E" w:rsidRPr="00D9388E" w:rsidRDefault="00D9388E" w:rsidP="00D9388E">
            <w:pPr>
              <w:keepNext/>
              <w:keepLines/>
              <w:jc w:val="right"/>
              <w:rPr>
                <w:rFonts w:ascii="Arial" w:hAnsi="Arial" w:cs="Arial"/>
                <w:sz w:val="20"/>
                <w:szCs w:val="20"/>
              </w:rPr>
            </w:pPr>
          </w:p>
        </w:tc>
        <w:tc>
          <w:tcPr>
            <w:tcW w:w="0" w:type="auto"/>
          </w:tcPr>
          <w:p w14:paraId="7A0D58FA" w14:textId="3EF41CC7" w:rsidR="00D9388E" w:rsidRPr="00D9388E" w:rsidRDefault="00D9388E" w:rsidP="00D9388E">
            <w:pPr>
              <w:keepNext/>
              <w:keepLines/>
              <w:jc w:val="right"/>
              <w:rPr>
                <w:rFonts w:ascii="Arial" w:hAnsi="Arial" w:cs="Arial"/>
                <w:sz w:val="20"/>
                <w:szCs w:val="20"/>
              </w:rPr>
            </w:pPr>
          </w:p>
        </w:tc>
        <w:tc>
          <w:tcPr>
            <w:tcW w:w="0" w:type="auto"/>
          </w:tcPr>
          <w:p w14:paraId="6D1B55EB" w14:textId="4BEC2FD7" w:rsidR="00D9388E" w:rsidRPr="00D9388E" w:rsidRDefault="00D9388E" w:rsidP="00D9388E">
            <w:pPr>
              <w:keepNext/>
              <w:keepLines/>
              <w:jc w:val="right"/>
              <w:rPr>
                <w:rFonts w:ascii="Arial" w:hAnsi="Arial" w:cs="Arial"/>
                <w:sz w:val="20"/>
                <w:szCs w:val="20"/>
              </w:rPr>
            </w:pPr>
          </w:p>
        </w:tc>
        <w:tc>
          <w:tcPr>
            <w:tcW w:w="0" w:type="auto"/>
          </w:tcPr>
          <w:p w14:paraId="4CBC162D" w14:textId="28FB4E00" w:rsidR="00D9388E" w:rsidRPr="00D9388E" w:rsidRDefault="00D9388E" w:rsidP="00D9388E">
            <w:pPr>
              <w:keepNext/>
              <w:keepLines/>
              <w:jc w:val="right"/>
              <w:rPr>
                <w:rFonts w:ascii="Arial" w:hAnsi="Arial" w:cs="Arial"/>
                <w:sz w:val="20"/>
                <w:szCs w:val="20"/>
              </w:rPr>
            </w:pPr>
          </w:p>
        </w:tc>
      </w:tr>
      <w:tr w:rsidR="00D9388E" w:rsidRPr="00FF45E1" w14:paraId="1E92B115" w14:textId="77777777" w:rsidTr="0078642D">
        <w:trPr>
          <w:jc w:val="center"/>
        </w:trPr>
        <w:tc>
          <w:tcPr>
            <w:tcW w:w="2088" w:type="dxa"/>
            <w:vAlign w:val="bottom"/>
          </w:tcPr>
          <w:p w14:paraId="5F8B02A9" w14:textId="77777777" w:rsidR="00D9388E" w:rsidRPr="007E0A27" w:rsidRDefault="00D9388E" w:rsidP="00D9388E">
            <w:pPr>
              <w:keepNext/>
              <w:keepLines/>
              <w:rPr>
                <w:rFonts w:ascii="Arial" w:hAnsi="Arial" w:cs="Arial"/>
                <w:b/>
                <w:sz w:val="20"/>
                <w:szCs w:val="20"/>
              </w:rPr>
            </w:pPr>
            <w:r w:rsidRPr="007E0A27">
              <w:rPr>
                <w:rFonts w:ascii="Arial" w:hAnsi="Arial" w:cs="Arial"/>
                <w:b/>
                <w:sz w:val="20"/>
                <w:szCs w:val="20"/>
              </w:rPr>
              <w:t>TOTAL</w:t>
            </w:r>
          </w:p>
        </w:tc>
        <w:tc>
          <w:tcPr>
            <w:tcW w:w="1413" w:type="dxa"/>
          </w:tcPr>
          <w:p w14:paraId="72F1F1DF" w14:textId="6E4401C5" w:rsidR="00D9388E" w:rsidRPr="00D9388E" w:rsidRDefault="00D9388E" w:rsidP="00D9388E">
            <w:pPr>
              <w:keepNext/>
              <w:keepLines/>
              <w:jc w:val="right"/>
              <w:rPr>
                <w:rFonts w:ascii="Arial" w:hAnsi="Arial" w:cs="Arial"/>
                <w:b/>
                <w:sz w:val="20"/>
                <w:szCs w:val="20"/>
              </w:rPr>
            </w:pPr>
            <w:r w:rsidRPr="00D9388E">
              <w:rPr>
                <w:rFonts w:ascii="Arial" w:hAnsi="Arial" w:cs="Arial"/>
                <w:b/>
                <w:sz w:val="20"/>
                <w:szCs w:val="20"/>
              </w:rPr>
              <w:t>846</w:t>
            </w:r>
          </w:p>
        </w:tc>
        <w:tc>
          <w:tcPr>
            <w:tcW w:w="0" w:type="auto"/>
          </w:tcPr>
          <w:p w14:paraId="46D8E81B" w14:textId="4F3D5F98" w:rsidR="00D9388E" w:rsidRPr="00D9388E" w:rsidRDefault="00D9388E" w:rsidP="00D9388E">
            <w:pPr>
              <w:keepNext/>
              <w:keepLines/>
              <w:jc w:val="right"/>
              <w:rPr>
                <w:rFonts w:ascii="Arial" w:hAnsi="Arial" w:cs="Arial"/>
                <w:b/>
                <w:sz w:val="20"/>
                <w:szCs w:val="20"/>
              </w:rPr>
            </w:pPr>
            <w:r w:rsidRPr="00D9388E">
              <w:rPr>
                <w:rFonts w:ascii="Arial" w:hAnsi="Arial" w:cs="Arial"/>
                <w:b/>
                <w:sz w:val="20"/>
                <w:szCs w:val="20"/>
              </w:rPr>
              <w:t>673</w:t>
            </w:r>
          </w:p>
        </w:tc>
        <w:tc>
          <w:tcPr>
            <w:tcW w:w="0" w:type="auto"/>
          </w:tcPr>
          <w:p w14:paraId="0A4D2376" w14:textId="77777777" w:rsidR="00D9388E" w:rsidRPr="00D9388E" w:rsidRDefault="00D9388E" w:rsidP="00D9388E">
            <w:pPr>
              <w:keepNext/>
              <w:keepLines/>
              <w:jc w:val="right"/>
              <w:rPr>
                <w:rFonts w:ascii="Arial" w:hAnsi="Arial" w:cs="Arial"/>
                <w:b/>
                <w:sz w:val="20"/>
                <w:szCs w:val="20"/>
              </w:rPr>
            </w:pPr>
          </w:p>
        </w:tc>
        <w:tc>
          <w:tcPr>
            <w:tcW w:w="0" w:type="auto"/>
          </w:tcPr>
          <w:p w14:paraId="4C561C90" w14:textId="27B7CAF1" w:rsidR="00D9388E" w:rsidRPr="00D9388E" w:rsidRDefault="00D9388E" w:rsidP="00D9388E">
            <w:pPr>
              <w:keepNext/>
              <w:keepLines/>
              <w:jc w:val="right"/>
              <w:rPr>
                <w:rFonts w:ascii="Arial" w:hAnsi="Arial" w:cs="Arial"/>
                <w:b/>
                <w:sz w:val="20"/>
                <w:szCs w:val="20"/>
              </w:rPr>
            </w:pPr>
            <w:r w:rsidRPr="00D9388E">
              <w:rPr>
                <w:rFonts w:ascii="Arial" w:hAnsi="Arial" w:cs="Arial"/>
                <w:b/>
                <w:sz w:val="20"/>
                <w:szCs w:val="20"/>
              </w:rPr>
              <w:t>0.80</w:t>
            </w:r>
          </w:p>
        </w:tc>
      </w:tr>
    </w:tbl>
    <w:p w14:paraId="7CA03443" w14:textId="77777777" w:rsidR="008C4C93" w:rsidRDefault="008C4C93" w:rsidP="008C4C93">
      <w:pPr>
        <w:pStyle w:val="TableCaption"/>
      </w:pPr>
    </w:p>
    <w:p w14:paraId="2901F30A" w14:textId="77777777" w:rsidR="00321E09" w:rsidRPr="003E1856" w:rsidRDefault="00321E09" w:rsidP="00AE3B4E">
      <w:pPr>
        <w:pStyle w:val="TableCaption"/>
        <w:spacing w:before="240"/>
      </w:pPr>
      <w:bookmarkStart w:id="80" w:name="_Toc226190228"/>
      <w:bookmarkStart w:id="81" w:name="_Toc415761869"/>
      <w:r w:rsidRPr="003E1856">
        <w:t>Table 2.4: DBP Enrollees by Local Capacity Area</w:t>
      </w:r>
      <w:r w:rsidR="00E32794" w:rsidRPr="003E1856">
        <w:t xml:space="preserve">, </w:t>
      </w:r>
      <w:r w:rsidR="00E32794" w:rsidRPr="003E1856">
        <w:rPr>
          <w:i/>
        </w:rPr>
        <w:t>S</w:t>
      </w:r>
      <w:r w:rsidRPr="003E1856">
        <w:rPr>
          <w:i/>
        </w:rPr>
        <w:t>CE</w:t>
      </w:r>
      <w:bookmarkEnd w:id="80"/>
      <w:bookmarkEnd w:id="81"/>
    </w:p>
    <w:tbl>
      <w:tblPr>
        <w:tblW w:w="7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864"/>
        <w:gridCol w:w="1363"/>
        <w:gridCol w:w="1228"/>
        <w:gridCol w:w="1174"/>
      </w:tblGrid>
      <w:tr w:rsidR="00AE3B4E" w:rsidRPr="003E1856" w14:paraId="0097D9C2" w14:textId="77777777" w:rsidTr="0005199B">
        <w:trPr>
          <w:jc w:val="center"/>
        </w:trPr>
        <w:tc>
          <w:tcPr>
            <w:tcW w:w="1915" w:type="dxa"/>
            <w:shd w:val="clear" w:color="auto" w:fill="D9E2F3"/>
            <w:vAlign w:val="center"/>
          </w:tcPr>
          <w:p w14:paraId="4AD5947C" w14:textId="77777777" w:rsidR="00AE3B4E" w:rsidRPr="003E1856" w:rsidRDefault="00AE3B4E" w:rsidP="00946A8E">
            <w:pPr>
              <w:jc w:val="center"/>
              <w:rPr>
                <w:rFonts w:ascii="Arial" w:hAnsi="Arial"/>
                <w:b/>
                <w:sz w:val="20"/>
              </w:rPr>
            </w:pPr>
            <w:r w:rsidRPr="003E1856">
              <w:rPr>
                <w:rFonts w:ascii="Arial" w:hAnsi="Arial"/>
                <w:b/>
                <w:sz w:val="20"/>
              </w:rPr>
              <w:t>Local Capacity Area</w:t>
            </w:r>
          </w:p>
        </w:tc>
        <w:tc>
          <w:tcPr>
            <w:tcW w:w="0" w:type="auto"/>
            <w:shd w:val="clear" w:color="auto" w:fill="D9E2F3"/>
            <w:vAlign w:val="center"/>
          </w:tcPr>
          <w:p w14:paraId="7EAE2851" w14:textId="77777777" w:rsidR="00AE3B4E" w:rsidRPr="003E1856" w:rsidRDefault="00AE3B4E" w:rsidP="00946A8E">
            <w:pPr>
              <w:keepNext/>
              <w:keepLines/>
              <w:jc w:val="center"/>
              <w:rPr>
                <w:rFonts w:ascii="Arial" w:hAnsi="Arial"/>
                <w:b/>
                <w:sz w:val="20"/>
                <w:szCs w:val="22"/>
              </w:rPr>
            </w:pPr>
            <w:r w:rsidRPr="003E1856">
              <w:rPr>
                <w:rFonts w:ascii="Arial" w:hAnsi="Arial" w:cs="Arial"/>
                <w:b/>
                <w:sz w:val="20"/>
                <w:szCs w:val="20"/>
              </w:rPr>
              <w:t># of Service Accounts</w:t>
            </w:r>
          </w:p>
        </w:tc>
        <w:tc>
          <w:tcPr>
            <w:tcW w:w="0" w:type="auto"/>
            <w:shd w:val="clear" w:color="auto" w:fill="D9E2F3"/>
            <w:vAlign w:val="center"/>
          </w:tcPr>
          <w:p w14:paraId="7A4DB25E" w14:textId="77777777" w:rsidR="00AE3B4E" w:rsidRPr="003E1856" w:rsidRDefault="00AE3B4E" w:rsidP="00946A8E">
            <w:pPr>
              <w:keepNext/>
              <w:keepLines/>
              <w:jc w:val="center"/>
              <w:rPr>
                <w:rFonts w:ascii="Arial" w:hAnsi="Arial"/>
                <w:b/>
                <w:sz w:val="20"/>
                <w:szCs w:val="22"/>
              </w:rPr>
            </w:pPr>
            <w:r w:rsidRPr="003E1856">
              <w:rPr>
                <w:rFonts w:ascii="Arial" w:hAnsi="Arial"/>
                <w:b/>
                <w:sz w:val="20"/>
                <w:szCs w:val="22"/>
              </w:rPr>
              <w:t>Sum of Max MW</w:t>
            </w:r>
          </w:p>
        </w:tc>
        <w:tc>
          <w:tcPr>
            <w:tcW w:w="0" w:type="auto"/>
            <w:shd w:val="clear" w:color="auto" w:fill="D9E2F3"/>
            <w:vAlign w:val="center"/>
          </w:tcPr>
          <w:p w14:paraId="11C0C599" w14:textId="77777777" w:rsidR="00AE3B4E" w:rsidRPr="003E1856" w:rsidRDefault="00AE3B4E" w:rsidP="00946A8E">
            <w:pPr>
              <w:keepNext/>
              <w:keepLines/>
              <w:jc w:val="center"/>
              <w:rPr>
                <w:rFonts w:ascii="Arial" w:hAnsi="Arial"/>
                <w:b/>
                <w:sz w:val="20"/>
                <w:szCs w:val="22"/>
              </w:rPr>
            </w:pPr>
            <w:r w:rsidRPr="003E1856">
              <w:rPr>
                <w:rFonts w:ascii="Arial" w:hAnsi="Arial"/>
                <w:b/>
                <w:sz w:val="20"/>
                <w:szCs w:val="22"/>
              </w:rPr>
              <w:t>% of Max MW</w:t>
            </w:r>
          </w:p>
        </w:tc>
        <w:tc>
          <w:tcPr>
            <w:tcW w:w="0" w:type="auto"/>
            <w:shd w:val="clear" w:color="auto" w:fill="D9E2F3"/>
            <w:vAlign w:val="center"/>
          </w:tcPr>
          <w:p w14:paraId="2B694564" w14:textId="77777777" w:rsidR="00AE3B4E" w:rsidRPr="003E1856" w:rsidRDefault="00AE3B4E" w:rsidP="000B4FFE">
            <w:pPr>
              <w:keepNext/>
              <w:keepLines/>
              <w:jc w:val="center"/>
              <w:rPr>
                <w:rFonts w:ascii="Arial" w:hAnsi="Arial"/>
                <w:b/>
                <w:sz w:val="20"/>
                <w:szCs w:val="22"/>
              </w:rPr>
            </w:pPr>
            <w:r w:rsidRPr="003E1856">
              <w:rPr>
                <w:rFonts w:ascii="Arial" w:hAnsi="Arial"/>
                <w:b/>
                <w:sz w:val="20"/>
                <w:szCs w:val="22"/>
              </w:rPr>
              <w:t>Ave. Max MW</w:t>
            </w:r>
          </w:p>
        </w:tc>
      </w:tr>
      <w:tr w:rsidR="00587396" w:rsidRPr="003E1856" w14:paraId="6CEC1ED1" w14:textId="77777777" w:rsidTr="00587396">
        <w:trPr>
          <w:jc w:val="center"/>
        </w:trPr>
        <w:tc>
          <w:tcPr>
            <w:tcW w:w="1915" w:type="dxa"/>
          </w:tcPr>
          <w:p w14:paraId="5C89A571" w14:textId="77777777" w:rsidR="00587396" w:rsidRPr="003E1856" w:rsidRDefault="00587396" w:rsidP="00587396">
            <w:pPr>
              <w:rPr>
                <w:rFonts w:ascii="Arial" w:hAnsi="Arial"/>
                <w:sz w:val="20"/>
              </w:rPr>
            </w:pPr>
            <w:r w:rsidRPr="003E1856">
              <w:rPr>
                <w:rFonts w:ascii="Arial" w:hAnsi="Arial"/>
                <w:sz w:val="20"/>
              </w:rPr>
              <w:t>LA Basin</w:t>
            </w:r>
          </w:p>
        </w:tc>
        <w:tc>
          <w:tcPr>
            <w:tcW w:w="0" w:type="auto"/>
            <w:vAlign w:val="center"/>
          </w:tcPr>
          <w:p w14:paraId="279CC236" w14:textId="2D3B5942" w:rsidR="00587396" w:rsidRPr="00587396" w:rsidRDefault="00587396" w:rsidP="00587396">
            <w:pPr>
              <w:jc w:val="right"/>
              <w:rPr>
                <w:rFonts w:ascii="Arial" w:hAnsi="Arial" w:cs="Arial"/>
                <w:sz w:val="20"/>
                <w:szCs w:val="20"/>
              </w:rPr>
            </w:pPr>
            <w:r w:rsidRPr="00587396">
              <w:rPr>
                <w:rFonts w:ascii="Arial" w:hAnsi="Arial" w:cs="Arial"/>
                <w:sz w:val="20"/>
                <w:szCs w:val="20"/>
              </w:rPr>
              <w:t>751</w:t>
            </w:r>
          </w:p>
        </w:tc>
        <w:tc>
          <w:tcPr>
            <w:tcW w:w="0" w:type="auto"/>
            <w:vAlign w:val="center"/>
          </w:tcPr>
          <w:p w14:paraId="43D34E9C" w14:textId="0C54FE6A" w:rsidR="00587396" w:rsidRPr="00587396" w:rsidRDefault="00587396" w:rsidP="00587396">
            <w:pPr>
              <w:jc w:val="right"/>
              <w:rPr>
                <w:rFonts w:ascii="Arial" w:hAnsi="Arial" w:cs="Arial"/>
                <w:sz w:val="20"/>
                <w:szCs w:val="20"/>
              </w:rPr>
            </w:pPr>
            <w:r w:rsidRPr="00587396">
              <w:rPr>
                <w:rFonts w:ascii="Arial" w:hAnsi="Arial" w:cs="Arial"/>
                <w:sz w:val="20"/>
                <w:szCs w:val="20"/>
              </w:rPr>
              <w:t>549.4</w:t>
            </w:r>
          </w:p>
        </w:tc>
        <w:tc>
          <w:tcPr>
            <w:tcW w:w="0" w:type="auto"/>
            <w:vAlign w:val="center"/>
          </w:tcPr>
          <w:p w14:paraId="1C7B8AF8" w14:textId="22AF2753" w:rsidR="00587396" w:rsidRPr="00587396" w:rsidRDefault="00587396" w:rsidP="00587396">
            <w:pPr>
              <w:jc w:val="right"/>
              <w:rPr>
                <w:rFonts w:ascii="Arial" w:hAnsi="Arial" w:cs="Arial"/>
                <w:sz w:val="20"/>
                <w:szCs w:val="20"/>
              </w:rPr>
            </w:pPr>
            <w:r w:rsidRPr="00587396">
              <w:rPr>
                <w:rFonts w:ascii="Arial" w:hAnsi="Arial" w:cs="Arial"/>
                <w:sz w:val="20"/>
                <w:szCs w:val="20"/>
              </w:rPr>
              <w:t>64.9%</w:t>
            </w:r>
          </w:p>
        </w:tc>
        <w:tc>
          <w:tcPr>
            <w:tcW w:w="0" w:type="auto"/>
            <w:vAlign w:val="center"/>
          </w:tcPr>
          <w:p w14:paraId="4A8F0CD5" w14:textId="560AE2A8" w:rsidR="00587396" w:rsidRPr="00587396" w:rsidRDefault="00587396" w:rsidP="00587396">
            <w:pPr>
              <w:jc w:val="right"/>
              <w:rPr>
                <w:rFonts w:ascii="Arial" w:hAnsi="Arial" w:cs="Arial"/>
                <w:sz w:val="20"/>
                <w:szCs w:val="20"/>
              </w:rPr>
            </w:pPr>
            <w:r w:rsidRPr="00587396">
              <w:rPr>
                <w:rFonts w:ascii="Arial" w:hAnsi="Arial" w:cs="Arial"/>
                <w:sz w:val="20"/>
                <w:szCs w:val="20"/>
              </w:rPr>
              <w:t>0.73</w:t>
            </w:r>
          </w:p>
        </w:tc>
      </w:tr>
      <w:tr w:rsidR="00587396" w:rsidRPr="003E1856" w14:paraId="36A17083" w14:textId="77777777" w:rsidTr="00587396">
        <w:trPr>
          <w:jc w:val="center"/>
        </w:trPr>
        <w:tc>
          <w:tcPr>
            <w:tcW w:w="1915" w:type="dxa"/>
          </w:tcPr>
          <w:p w14:paraId="39673728" w14:textId="77777777" w:rsidR="00587396" w:rsidRPr="003E1856" w:rsidRDefault="00587396" w:rsidP="00587396">
            <w:pPr>
              <w:rPr>
                <w:rFonts w:ascii="Arial" w:hAnsi="Arial"/>
                <w:sz w:val="20"/>
              </w:rPr>
            </w:pPr>
            <w:r w:rsidRPr="003E1856">
              <w:rPr>
                <w:rFonts w:ascii="Arial" w:hAnsi="Arial"/>
                <w:sz w:val="20"/>
              </w:rPr>
              <w:t>Outside LA Basin</w:t>
            </w:r>
          </w:p>
        </w:tc>
        <w:tc>
          <w:tcPr>
            <w:tcW w:w="0" w:type="auto"/>
            <w:vAlign w:val="center"/>
          </w:tcPr>
          <w:p w14:paraId="47BBBD7E" w14:textId="6EC08681" w:rsidR="00587396" w:rsidRPr="00587396" w:rsidRDefault="00587396" w:rsidP="00587396">
            <w:pPr>
              <w:jc w:val="right"/>
              <w:rPr>
                <w:rFonts w:ascii="Arial" w:hAnsi="Arial" w:cs="Arial"/>
                <w:sz w:val="20"/>
                <w:szCs w:val="20"/>
              </w:rPr>
            </w:pPr>
          </w:p>
        </w:tc>
        <w:tc>
          <w:tcPr>
            <w:tcW w:w="0" w:type="auto"/>
            <w:vAlign w:val="center"/>
          </w:tcPr>
          <w:p w14:paraId="08615AF3" w14:textId="06831B72" w:rsidR="00587396" w:rsidRPr="00587396" w:rsidRDefault="00587396" w:rsidP="00587396">
            <w:pPr>
              <w:jc w:val="right"/>
              <w:rPr>
                <w:rFonts w:ascii="Arial" w:hAnsi="Arial" w:cs="Arial"/>
                <w:sz w:val="20"/>
                <w:szCs w:val="20"/>
              </w:rPr>
            </w:pPr>
          </w:p>
        </w:tc>
        <w:tc>
          <w:tcPr>
            <w:tcW w:w="0" w:type="auto"/>
            <w:vAlign w:val="center"/>
          </w:tcPr>
          <w:p w14:paraId="19EADD65" w14:textId="7CD806A0" w:rsidR="00587396" w:rsidRPr="00587396" w:rsidRDefault="00587396" w:rsidP="00587396">
            <w:pPr>
              <w:jc w:val="right"/>
              <w:rPr>
                <w:rFonts w:ascii="Arial" w:hAnsi="Arial" w:cs="Arial"/>
                <w:sz w:val="20"/>
                <w:szCs w:val="20"/>
              </w:rPr>
            </w:pPr>
          </w:p>
        </w:tc>
        <w:tc>
          <w:tcPr>
            <w:tcW w:w="0" w:type="auto"/>
            <w:vAlign w:val="center"/>
          </w:tcPr>
          <w:p w14:paraId="623C193F" w14:textId="6B0012A4" w:rsidR="00587396" w:rsidRPr="00587396" w:rsidRDefault="00587396" w:rsidP="00587396">
            <w:pPr>
              <w:jc w:val="right"/>
              <w:rPr>
                <w:rFonts w:ascii="Arial" w:hAnsi="Arial" w:cs="Arial"/>
                <w:sz w:val="20"/>
                <w:szCs w:val="20"/>
              </w:rPr>
            </w:pPr>
          </w:p>
        </w:tc>
      </w:tr>
      <w:tr w:rsidR="00587396" w:rsidRPr="003E1856" w14:paraId="452983E1" w14:textId="77777777" w:rsidTr="00587396">
        <w:trPr>
          <w:jc w:val="center"/>
        </w:trPr>
        <w:tc>
          <w:tcPr>
            <w:tcW w:w="1915" w:type="dxa"/>
          </w:tcPr>
          <w:p w14:paraId="6A661745" w14:textId="77777777" w:rsidR="00587396" w:rsidRPr="003E1856" w:rsidRDefault="00587396" w:rsidP="00587396">
            <w:pPr>
              <w:rPr>
                <w:rFonts w:ascii="Arial" w:hAnsi="Arial"/>
                <w:sz w:val="20"/>
              </w:rPr>
            </w:pPr>
            <w:smartTag w:uri="urn:schemas-microsoft-com:office:smarttags" w:element="place">
              <w:smartTag w:uri="urn:schemas-microsoft-com:office:smarttags" w:element="City">
                <w:r w:rsidRPr="003E1856">
                  <w:rPr>
                    <w:rFonts w:ascii="Arial" w:hAnsi="Arial"/>
                    <w:sz w:val="20"/>
                  </w:rPr>
                  <w:t>Ventura</w:t>
                </w:r>
              </w:smartTag>
            </w:smartTag>
          </w:p>
        </w:tc>
        <w:tc>
          <w:tcPr>
            <w:tcW w:w="0" w:type="auto"/>
            <w:vAlign w:val="center"/>
          </w:tcPr>
          <w:p w14:paraId="6997AF6B" w14:textId="31F991E2" w:rsidR="00587396" w:rsidRPr="00587396" w:rsidRDefault="00587396" w:rsidP="00587396">
            <w:pPr>
              <w:jc w:val="right"/>
              <w:rPr>
                <w:rFonts w:ascii="Arial" w:hAnsi="Arial" w:cs="Arial"/>
                <w:sz w:val="20"/>
                <w:szCs w:val="20"/>
              </w:rPr>
            </w:pPr>
          </w:p>
        </w:tc>
        <w:tc>
          <w:tcPr>
            <w:tcW w:w="0" w:type="auto"/>
            <w:vAlign w:val="center"/>
          </w:tcPr>
          <w:p w14:paraId="7B3197A6" w14:textId="5A6363D4" w:rsidR="00587396" w:rsidRPr="00587396" w:rsidRDefault="00587396" w:rsidP="00587396">
            <w:pPr>
              <w:jc w:val="right"/>
              <w:rPr>
                <w:rFonts w:ascii="Arial" w:hAnsi="Arial" w:cs="Arial"/>
                <w:sz w:val="20"/>
                <w:szCs w:val="20"/>
              </w:rPr>
            </w:pPr>
          </w:p>
        </w:tc>
        <w:tc>
          <w:tcPr>
            <w:tcW w:w="0" w:type="auto"/>
            <w:vAlign w:val="center"/>
          </w:tcPr>
          <w:p w14:paraId="3893BE35" w14:textId="527B2C68" w:rsidR="00587396" w:rsidRPr="00587396" w:rsidRDefault="00587396" w:rsidP="00587396">
            <w:pPr>
              <w:jc w:val="right"/>
              <w:rPr>
                <w:rFonts w:ascii="Arial" w:hAnsi="Arial" w:cs="Arial"/>
                <w:sz w:val="20"/>
                <w:szCs w:val="20"/>
              </w:rPr>
            </w:pPr>
          </w:p>
        </w:tc>
        <w:tc>
          <w:tcPr>
            <w:tcW w:w="0" w:type="auto"/>
            <w:vAlign w:val="center"/>
          </w:tcPr>
          <w:p w14:paraId="16F4B752" w14:textId="6AF4F580" w:rsidR="00587396" w:rsidRPr="00587396" w:rsidRDefault="00587396" w:rsidP="00587396">
            <w:pPr>
              <w:jc w:val="right"/>
              <w:rPr>
                <w:rFonts w:ascii="Arial" w:hAnsi="Arial" w:cs="Arial"/>
                <w:sz w:val="20"/>
                <w:szCs w:val="20"/>
              </w:rPr>
            </w:pPr>
          </w:p>
        </w:tc>
      </w:tr>
      <w:tr w:rsidR="00587396" w:rsidRPr="00FF45E1" w14:paraId="4F7B5ED4" w14:textId="77777777" w:rsidTr="00587396">
        <w:trPr>
          <w:jc w:val="center"/>
        </w:trPr>
        <w:tc>
          <w:tcPr>
            <w:tcW w:w="1915" w:type="dxa"/>
          </w:tcPr>
          <w:p w14:paraId="64B52654" w14:textId="77777777" w:rsidR="00587396" w:rsidRPr="003E1856" w:rsidRDefault="00587396" w:rsidP="00587396">
            <w:pPr>
              <w:rPr>
                <w:rFonts w:ascii="Arial" w:hAnsi="Arial"/>
                <w:b/>
                <w:sz w:val="20"/>
              </w:rPr>
            </w:pPr>
            <w:r w:rsidRPr="003E1856">
              <w:rPr>
                <w:rFonts w:ascii="Arial" w:hAnsi="Arial"/>
                <w:b/>
                <w:sz w:val="20"/>
              </w:rPr>
              <w:t>TOTAL</w:t>
            </w:r>
          </w:p>
        </w:tc>
        <w:tc>
          <w:tcPr>
            <w:tcW w:w="0" w:type="auto"/>
            <w:vAlign w:val="center"/>
          </w:tcPr>
          <w:p w14:paraId="148C4B52" w14:textId="1539887E" w:rsidR="00587396" w:rsidRPr="00587396" w:rsidRDefault="00587396" w:rsidP="00587396">
            <w:pPr>
              <w:jc w:val="right"/>
              <w:rPr>
                <w:rFonts w:ascii="Arial" w:hAnsi="Arial" w:cs="Arial"/>
                <w:b/>
                <w:sz w:val="20"/>
                <w:szCs w:val="20"/>
              </w:rPr>
            </w:pPr>
            <w:r w:rsidRPr="00587396">
              <w:rPr>
                <w:rFonts w:ascii="Arial" w:hAnsi="Arial" w:cs="Arial"/>
                <w:b/>
                <w:sz w:val="20"/>
                <w:szCs w:val="20"/>
              </w:rPr>
              <w:t>944</w:t>
            </w:r>
          </w:p>
        </w:tc>
        <w:tc>
          <w:tcPr>
            <w:tcW w:w="0" w:type="auto"/>
            <w:vAlign w:val="center"/>
          </w:tcPr>
          <w:p w14:paraId="6532445B" w14:textId="43AB561E" w:rsidR="00587396" w:rsidRPr="00587396" w:rsidRDefault="00587396" w:rsidP="00587396">
            <w:pPr>
              <w:jc w:val="right"/>
              <w:rPr>
                <w:rFonts w:ascii="Arial" w:hAnsi="Arial" w:cs="Arial"/>
                <w:b/>
                <w:sz w:val="20"/>
                <w:szCs w:val="20"/>
              </w:rPr>
            </w:pPr>
            <w:r w:rsidRPr="00587396">
              <w:rPr>
                <w:rFonts w:ascii="Arial" w:hAnsi="Arial" w:cs="Arial"/>
                <w:b/>
                <w:sz w:val="20"/>
                <w:szCs w:val="20"/>
              </w:rPr>
              <w:t>846.8</w:t>
            </w:r>
          </w:p>
        </w:tc>
        <w:tc>
          <w:tcPr>
            <w:tcW w:w="0" w:type="auto"/>
            <w:vAlign w:val="center"/>
          </w:tcPr>
          <w:p w14:paraId="54754068" w14:textId="77777777" w:rsidR="00587396" w:rsidRPr="00587396" w:rsidRDefault="00587396" w:rsidP="00587396">
            <w:pPr>
              <w:jc w:val="right"/>
              <w:rPr>
                <w:rFonts w:ascii="Arial" w:hAnsi="Arial" w:cs="Arial"/>
                <w:b/>
                <w:sz w:val="20"/>
                <w:szCs w:val="20"/>
              </w:rPr>
            </w:pPr>
          </w:p>
        </w:tc>
        <w:tc>
          <w:tcPr>
            <w:tcW w:w="0" w:type="auto"/>
            <w:vAlign w:val="center"/>
          </w:tcPr>
          <w:p w14:paraId="3134BE75" w14:textId="4CEC8972" w:rsidR="00587396" w:rsidRPr="00587396" w:rsidRDefault="00587396" w:rsidP="00587396">
            <w:pPr>
              <w:jc w:val="right"/>
              <w:rPr>
                <w:rFonts w:ascii="Arial" w:hAnsi="Arial" w:cs="Arial"/>
                <w:b/>
                <w:sz w:val="20"/>
                <w:szCs w:val="20"/>
              </w:rPr>
            </w:pPr>
            <w:r w:rsidRPr="00587396">
              <w:rPr>
                <w:rFonts w:ascii="Arial" w:hAnsi="Arial" w:cs="Arial"/>
                <w:b/>
                <w:sz w:val="20"/>
                <w:szCs w:val="20"/>
              </w:rPr>
              <w:t>0.90</w:t>
            </w:r>
          </w:p>
        </w:tc>
      </w:tr>
    </w:tbl>
    <w:p w14:paraId="4AF1BA11" w14:textId="77777777" w:rsidR="00D45D8A" w:rsidRDefault="00D45D8A" w:rsidP="0094443D"/>
    <w:p w14:paraId="367BE9DB" w14:textId="5193730B" w:rsidR="00321E09" w:rsidRDefault="00321E09" w:rsidP="0094443D">
      <w:r>
        <w:t>T</w:t>
      </w:r>
      <w:r w:rsidR="007469E5">
        <w:t xml:space="preserve">ables 2.5 and 2.6 summarize </w:t>
      </w:r>
      <w:r w:rsidR="00742A4F">
        <w:t xml:space="preserve">average event-day </w:t>
      </w:r>
      <w:r w:rsidR="007469E5">
        <w:t xml:space="preserve">bidding behavior by industry group. The average hourly bid is calculated first at the customer level, only over the hours in which the customer submitted a bid. The customer-level averages are then summed within industry group to arrive at the values in the tables. </w:t>
      </w:r>
      <w:r w:rsidRPr="008549BC">
        <w:t xml:space="preserve">For both utilities, the manufacturing industry group had the highest </w:t>
      </w:r>
      <w:r w:rsidR="006D0370" w:rsidRPr="008549BC">
        <w:t xml:space="preserve">amount </w:t>
      </w:r>
      <w:r w:rsidRPr="008549BC">
        <w:t>of load that submitted a bid.</w:t>
      </w:r>
      <w:r w:rsidR="007469E5" w:rsidRPr="008549BC">
        <w:t xml:space="preserve"> </w:t>
      </w:r>
      <w:r w:rsidR="00BF6E97" w:rsidRPr="00CE31EA">
        <w:t>Note that the total bid amounts shown in this table exceed the amount bid during any one event hour.</w:t>
      </w:r>
      <w:r w:rsidR="00BF6E97">
        <w:t xml:space="preserve"> A summary of bid amounts by event is included in Section 4.</w:t>
      </w:r>
      <w:r w:rsidR="00A54F76">
        <w:t xml:space="preserve"> Note that some </w:t>
      </w:r>
      <w:r w:rsidR="00A54F76" w:rsidRPr="00C749DA">
        <w:t>results have been removed due to confidentiality concerns.</w:t>
      </w:r>
    </w:p>
    <w:p w14:paraId="4AC73B91" w14:textId="77777777" w:rsidR="00321E09" w:rsidRDefault="00321E09" w:rsidP="0094443D"/>
    <w:p w14:paraId="58450EAE" w14:textId="77777777" w:rsidR="00321E09" w:rsidRPr="00852320" w:rsidRDefault="00321E09" w:rsidP="007469E5">
      <w:pPr>
        <w:pStyle w:val="TableCaption"/>
        <w:keepNext/>
        <w:keepLines/>
        <w:spacing w:before="120"/>
      </w:pPr>
      <w:bookmarkStart w:id="82" w:name="_Toc415761870"/>
      <w:r w:rsidRPr="00852320">
        <w:t>Table 2.5: DBP Bidding Behavior</w:t>
      </w:r>
      <w:r w:rsidR="00E32794" w:rsidRPr="00852320">
        <w:t xml:space="preserve">, </w:t>
      </w:r>
      <w:r w:rsidRPr="00852320">
        <w:rPr>
          <w:i/>
        </w:rPr>
        <w:t>PG&amp;E</w:t>
      </w:r>
      <w:bookmarkEnd w:id="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1086"/>
        <w:gridCol w:w="1808"/>
        <w:gridCol w:w="2070"/>
      </w:tblGrid>
      <w:tr w:rsidR="007469E5" w14:paraId="2BA1CAFF" w14:textId="77777777" w:rsidTr="0005199B">
        <w:trPr>
          <w:jc w:val="center"/>
        </w:trPr>
        <w:tc>
          <w:tcPr>
            <w:tcW w:w="0" w:type="auto"/>
            <w:shd w:val="clear" w:color="auto" w:fill="D9E2F3"/>
            <w:vAlign w:val="center"/>
          </w:tcPr>
          <w:p w14:paraId="6C50FD5A" w14:textId="77777777" w:rsidR="007469E5" w:rsidRPr="007E0A27" w:rsidRDefault="007469E5" w:rsidP="007469E5">
            <w:pPr>
              <w:keepNext/>
              <w:keepLines/>
              <w:jc w:val="center"/>
              <w:rPr>
                <w:rFonts w:ascii="Arial" w:hAnsi="Arial"/>
                <w:b/>
                <w:sz w:val="20"/>
                <w:szCs w:val="22"/>
              </w:rPr>
            </w:pPr>
            <w:r w:rsidRPr="007E0A27">
              <w:rPr>
                <w:rFonts w:ascii="Arial" w:hAnsi="Arial"/>
                <w:b/>
                <w:sz w:val="20"/>
                <w:szCs w:val="22"/>
              </w:rPr>
              <w:t>Industry Type</w:t>
            </w:r>
          </w:p>
        </w:tc>
        <w:tc>
          <w:tcPr>
            <w:tcW w:w="0" w:type="auto"/>
            <w:shd w:val="clear" w:color="auto" w:fill="D9E2F3"/>
            <w:vAlign w:val="center"/>
          </w:tcPr>
          <w:p w14:paraId="7A146538" w14:textId="77777777" w:rsidR="007469E5" w:rsidRPr="007E0A27" w:rsidRDefault="007469E5" w:rsidP="007469E5">
            <w:pPr>
              <w:keepNext/>
              <w:keepLines/>
              <w:jc w:val="center"/>
              <w:rPr>
                <w:rFonts w:ascii="Arial" w:hAnsi="Arial"/>
                <w:b/>
                <w:sz w:val="20"/>
                <w:szCs w:val="22"/>
              </w:rPr>
            </w:pPr>
            <w:r w:rsidRPr="007E0A27">
              <w:rPr>
                <w:rFonts w:ascii="Arial" w:hAnsi="Arial"/>
                <w:b/>
                <w:sz w:val="20"/>
                <w:szCs w:val="22"/>
              </w:rPr>
              <w:t># Bidders</w:t>
            </w:r>
          </w:p>
        </w:tc>
        <w:tc>
          <w:tcPr>
            <w:tcW w:w="0" w:type="auto"/>
            <w:shd w:val="clear" w:color="auto" w:fill="D9E2F3"/>
          </w:tcPr>
          <w:p w14:paraId="7B7C1B89" w14:textId="77777777" w:rsidR="007469E5" w:rsidRPr="007E0A27" w:rsidRDefault="007469E5" w:rsidP="007469E5">
            <w:pPr>
              <w:keepNext/>
              <w:keepLines/>
              <w:jc w:val="center"/>
              <w:rPr>
                <w:rFonts w:ascii="Arial" w:hAnsi="Arial"/>
                <w:b/>
                <w:sz w:val="20"/>
                <w:szCs w:val="22"/>
              </w:rPr>
            </w:pPr>
            <w:r w:rsidRPr="007E0A27">
              <w:rPr>
                <w:rFonts w:ascii="Arial" w:hAnsi="Arial"/>
                <w:b/>
                <w:sz w:val="20"/>
                <w:szCs w:val="22"/>
              </w:rPr>
              <w:t xml:space="preserve">Avg. Hourly Bid </w:t>
            </w:r>
            <w:r>
              <w:rPr>
                <w:rFonts w:ascii="Arial" w:hAnsi="Arial"/>
                <w:b/>
                <w:sz w:val="20"/>
                <w:szCs w:val="22"/>
              </w:rPr>
              <w:t>M</w:t>
            </w:r>
            <w:r w:rsidRPr="007E0A27">
              <w:rPr>
                <w:rFonts w:ascii="Arial" w:hAnsi="Arial"/>
                <w:b/>
                <w:sz w:val="20"/>
                <w:szCs w:val="22"/>
              </w:rPr>
              <w:t>W</w:t>
            </w:r>
          </w:p>
        </w:tc>
        <w:tc>
          <w:tcPr>
            <w:tcW w:w="0" w:type="auto"/>
            <w:shd w:val="clear" w:color="auto" w:fill="D9E2F3"/>
          </w:tcPr>
          <w:p w14:paraId="63396342" w14:textId="77777777" w:rsidR="007469E5" w:rsidRPr="007E0A27" w:rsidRDefault="007469E5" w:rsidP="007469E5">
            <w:pPr>
              <w:keepNext/>
              <w:keepLines/>
              <w:jc w:val="center"/>
              <w:rPr>
                <w:rFonts w:ascii="Arial" w:hAnsi="Arial"/>
                <w:b/>
                <w:sz w:val="20"/>
                <w:szCs w:val="22"/>
              </w:rPr>
            </w:pPr>
            <w:r>
              <w:rPr>
                <w:rFonts w:ascii="Arial" w:hAnsi="Arial"/>
                <w:b/>
                <w:sz w:val="20"/>
                <w:szCs w:val="22"/>
              </w:rPr>
              <w:t>% of Enrolled Max MW</w:t>
            </w:r>
            <w:r>
              <w:rPr>
                <w:rStyle w:val="FootnoteReference"/>
                <w:rFonts w:ascii="Arial" w:hAnsi="Arial"/>
                <w:b/>
                <w:sz w:val="20"/>
                <w:szCs w:val="22"/>
              </w:rPr>
              <w:footnoteReference w:id="8"/>
            </w:r>
          </w:p>
        </w:tc>
      </w:tr>
      <w:tr w:rsidR="0072025D" w14:paraId="1E6E7C90" w14:textId="77777777" w:rsidTr="0072025D">
        <w:trPr>
          <w:jc w:val="center"/>
        </w:trPr>
        <w:tc>
          <w:tcPr>
            <w:tcW w:w="0" w:type="auto"/>
          </w:tcPr>
          <w:p w14:paraId="78F56150"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1.Ag</w:t>
            </w:r>
            <w:r>
              <w:rPr>
                <w:rFonts w:ascii="Arial" w:hAnsi="Arial" w:cs="Arial"/>
                <w:sz w:val="20"/>
                <w:szCs w:val="20"/>
              </w:rPr>
              <w:t>riculture</w:t>
            </w:r>
            <w:r w:rsidRPr="007E0A27">
              <w:rPr>
                <w:rFonts w:ascii="Arial" w:hAnsi="Arial" w:cs="Arial"/>
                <w:sz w:val="20"/>
                <w:szCs w:val="20"/>
              </w:rPr>
              <w:t>, Mining, Constr</w:t>
            </w:r>
            <w:r>
              <w:rPr>
                <w:rFonts w:ascii="Arial" w:hAnsi="Arial" w:cs="Arial"/>
                <w:sz w:val="20"/>
                <w:szCs w:val="20"/>
              </w:rPr>
              <w:t>uction</w:t>
            </w:r>
          </w:p>
        </w:tc>
        <w:tc>
          <w:tcPr>
            <w:tcW w:w="0" w:type="auto"/>
            <w:vAlign w:val="center"/>
          </w:tcPr>
          <w:p w14:paraId="78A3419B" w14:textId="4A93FF05" w:rsidR="0072025D" w:rsidRPr="0072025D" w:rsidRDefault="0072025D" w:rsidP="0072025D">
            <w:pPr>
              <w:jc w:val="right"/>
              <w:rPr>
                <w:rFonts w:ascii="Arial" w:hAnsi="Arial" w:cs="Arial"/>
                <w:sz w:val="20"/>
                <w:szCs w:val="20"/>
              </w:rPr>
            </w:pPr>
          </w:p>
        </w:tc>
        <w:tc>
          <w:tcPr>
            <w:tcW w:w="0" w:type="auto"/>
            <w:vAlign w:val="center"/>
          </w:tcPr>
          <w:p w14:paraId="2A18C7C7" w14:textId="4B5658A8" w:rsidR="0072025D" w:rsidRPr="0072025D" w:rsidRDefault="0072025D" w:rsidP="0072025D">
            <w:pPr>
              <w:jc w:val="right"/>
              <w:rPr>
                <w:rFonts w:ascii="Arial" w:hAnsi="Arial" w:cs="Arial"/>
                <w:sz w:val="20"/>
                <w:szCs w:val="20"/>
              </w:rPr>
            </w:pPr>
          </w:p>
        </w:tc>
        <w:tc>
          <w:tcPr>
            <w:tcW w:w="0" w:type="auto"/>
            <w:vAlign w:val="center"/>
          </w:tcPr>
          <w:p w14:paraId="13B4E980" w14:textId="20B142A4" w:rsidR="0072025D" w:rsidRPr="0072025D" w:rsidRDefault="0072025D" w:rsidP="0072025D">
            <w:pPr>
              <w:jc w:val="right"/>
              <w:rPr>
                <w:rFonts w:ascii="Arial" w:hAnsi="Arial" w:cs="Arial"/>
                <w:sz w:val="20"/>
                <w:szCs w:val="20"/>
              </w:rPr>
            </w:pPr>
          </w:p>
        </w:tc>
      </w:tr>
      <w:tr w:rsidR="0072025D" w14:paraId="1D342E75" w14:textId="77777777" w:rsidTr="0072025D">
        <w:trPr>
          <w:jc w:val="center"/>
        </w:trPr>
        <w:tc>
          <w:tcPr>
            <w:tcW w:w="0" w:type="auto"/>
          </w:tcPr>
          <w:p w14:paraId="0FAD6879"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2.Manufacturing</w:t>
            </w:r>
          </w:p>
        </w:tc>
        <w:tc>
          <w:tcPr>
            <w:tcW w:w="0" w:type="auto"/>
            <w:vAlign w:val="center"/>
          </w:tcPr>
          <w:p w14:paraId="0A8D9A5D" w14:textId="76950E5C" w:rsidR="0072025D" w:rsidRPr="0072025D" w:rsidRDefault="0072025D" w:rsidP="0072025D">
            <w:pPr>
              <w:jc w:val="right"/>
              <w:rPr>
                <w:rFonts w:ascii="Arial" w:hAnsi="Arial" w:cs="Arial"/>
                <w:sz w:val="20"/>
                <w:szCs w:val="20"/>
              </w:rPr>
            </w:pPr>
          </w:p>
        </w:tc>
        <w:tc>
          <w:tcPr>
            <w:tcW w:w="0" w:type="auto"/>
            <w:vAlign w:val="center"/>
          </w:tcPr>
          <w:p w14:paraId="7567A24C" w14:textId="072020C0" w:rsidR="0072025D" w:rsidRPr="0072025D" w:rsidRDefault="0072025D" w:rsidP="0072025D">
            <w:pPr>
              <w:jc w:val="right"/>
              <w:rPr>
                <w:rFonts w:ascii="Arial" w:hAnsi="Arial" w:cs="Arial"/>
                <w:sz w:val="20"/>
                <w:szCs w:val="20"/>
              </w:rPr>
            </w:pPr>
          </w:p>
        </w:tc>
        <w:tc>
          <w:tcPr>
            <w:tcW w:w="0" w:type="auto"/>
            <w:vAlign w:val="center"/>
          </w:tcPr>
          <w:p w14:paraId="23CA2683" w14:textId="2AAB426D" w:rsidR="0072025D" w:rsidRPr="0072025D" w:rsidRDefault="0072025D" w:rsidP="0072025D">
            <w:pPr>
              <w:jc w:val="right"/>
              <w:rPr>
                <w:rFonts w:ascii="Arial" w:hAnsi="Arial" w:cs="Arial"/>
                <w:sz w:val="20"/>
                <w:szCs w:val="20"/>
              </w:rPr>
            </w:pPr>
          </w:p>
        </w:tc>
      </w:tr>
      <w:tr w:rsidR="0072025D" w14:paraId="41ED0B6A" w14:textId="77777777" w:rsidTr="0072025D">
        <w:trPr>
          <w:jc w:val="center"/>
        </w:trPr>
        <w:tc>
          <w:tcPr>
            <w:tcW w:w="0" w:type="auto"/>
          </w:tcPr>
          <w:p w14:paraId="75E70130"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3.Whole</w:t>
            </w:r>
            <w:r>
              <w:rPr>
                <w:rFonts w:ascii="Arial" w:hAnsi="Arial" w:cs="Arial"/>
                <w:sz w:val="20"/>
                <w:szCs w:val="20"/>
              </w:rPr>
              <w:t>sale</w:t>
            </w:r>
            <w:r w:rsidRPr="007E0A27">
              <w:rPr>
                <w:rFonts w:ascii="Arial" w:hAnsi="Arial" w:cs="Arial"/>
                <w:sz w:val="20"/>
                <w:szCs w:val="20"/>
              </w:rPr>
              <w:t>, Trans</w:t>
            </w:r>
            <w:r>
              <w:rPr>
                <w:rFonts w:ascii="Arial" w:hAnsi="Arial" w:cs="Arial"/>
                <w:sz w:val="20"/>
                <w:szCs w:val="20"/>
              </w:rPr>
              <w:t>portation</w:t>
            </w:r>
            <w:r w:rsidRPr="007E0A27">
              <w:rPr>
                <w:rFonts w:ascii="Arial" w:hAnsi="Arial" w:cs="Arial"/>
                <w:sz w:val="20"/>
                <w:szCs w:val="20"/>
              </w:rPr>
              <w:t>, Util</w:t>
            </w:r>
            <w:r>
              <w:rPr>
                <w:rFonts w:ascii="Arial" w:hAnsi="Arial" w:cs="Arial"/>
                <w:sz w:val="20"/>
                <w:szCs w:val="20"/>
              </w:rPr>
              <w:t>ities</w:t>
            </w:r>
          </w:p>
        </w:tc>
        <w:tc>
          <w:tcPr>
            <w:tcW w:w="0" w:type="auto"/>
            <w:vAlign w:val="center"/>
          </w:tcPr>
          <w:p w14:paraId="3A25819A" w14:textId="47637C34" w:rsidR="0072025D" w:rsidRPr="0072025D" w:rsidRDefault="0072025D" w:rsidP="0072025D">
            <w:pPr>
              <w:jc w:val="right"/>
              <w:rPr>
                <w:rFonts w:ascii="Arial" w:hAnsi="Arial" w:cs="Arial"/>
                <w:sz w:val="20"/>
                <w:szCs w:val="20"/>
              </w:rPr>
            </w:pPr>
          </w:p>
        </w:tc>
        <w:tc>
          <w:tcPr>
            <w:tcW w:w="0" w:type="auto"/>
            <w:vAlign w:val="center"/>
          </w:tcPr>
          <w:p w14:paraId="4BE9D1D4" w14:textId="02E93359" w:rsidR="0072025D" w:rsidRPr="0072025D" w:rsidRDefault="0072025D" w:rsidP="0072025D">
            <w:pPr>
              <w:jc w:val="right"/>
              <w:rPr>
                <w:rFonts w:ascii="Arial" w:hAnsi="Arial" w:cs="Arial"/>
                <w:sz w:val="20"/>
                <w:szCs w:val="20"/>
              </w:rPr>
            </w:pPr>
          </w:p>
        </w:tc>
        <w:tc>
          <w:tcPr>
            <w:tcW w:w="0" w:type="auto"/>
            <w:vAlign w:val="center"/>
          </w:tcPr>
          <w:p w14:paraId="64238688" w14:textId="4F54CA7E" w:rsidR="0072025D" w:rsidRPr="0072025D" w:rsidRDefault="0072025D" w:rsidP="0072025D">
            <w:pPr>
              <w:jc w:val="right"/>
              <w:rPr>
                <w:rFonts w:ascii="Arial" w:hAnsi="Arial" w:cs="Arial"/>
                <w:sz w:val="20"/>
                <w:szCs w:val="20"/>
              </w:rPr>
            </w:pPr>
          </w:p>
        </w:tc>
      </w:tr>
      <w:tr w:rsidR="0072025D" w14:paraId="5EF355AA" w14:textId="77777777" w:rsidTr="0072025D">
        <w:trPr>
          <w:jc w:val="center"/>
        </w:trPr>
        <w:tc>
          <w:tcPr>
            <w:tcW w:w="0" w:type="auto"/>
          </w:tcPr>
          <w:p w14:paraId="3DDBAC96"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4.Retail</w:t>
            </w:r>
          </w:p>
        </w:tc>
        <w:tc>
          <w:tcPr>
            <w:tcW w:w="0" w:type="auto"/>
            <w:vAlign w:val="center"/>
          </w:tcPr>
          <w:p w14:paraId="2F78D07B" w14:textId="0B56182F" w:rsidR="0072025D" w:rsidRPr="0072025D" w:rsidRDefault="0072025D" w:rsidP="0072025D">
            <w:pPr>
              <w:jc w:val="right"/>
              <w:rPr>
                <w:rFonts w:ascii="Arial" w:hAnsi="Arial" w:cs="Arial"/>
                <w:sz w:val="20"/>
                <w:szCs w:val="20"/>
              </w:rPr>
            </w:pPr>
          </w:p>
        </w:tc>
        <w:tc>
          <w:tcPr>
            <w:tcW w:w="0" w:type="auto"/>
            <w:vAlign w:val="center"/>
          </w:tcPr>
          <w:p w14:paraId="48E2DE4B" w14:textId="04B7697A" w:rsidR="0072025D" w:rsidRPr="0072025D" w:rsidRDefault="0072025D" w:rsidP="0072025D">
            <w:pPr>
              <w:jc w:val="right"/>
              <w:rPr>
                <w:rFonts w:ascii="Arial" w:hAnsi="Arial" w:cs="Arial"/>
                <w:sz w:val="20"/>
                <w:szCs w:val="20"/>
              </w:rPr>
            </w:pPr>
          </w:p>
        </w:tc>
        <w:tc>
          <w:tcPr>
            <w:tcW w:w="0" w:type="auto"/>
            <w:vAlign w:val="center"/>
          </w:tcPr>
          <w:p w14:paraId="4276B465" w14:textId="4EA0AA70" w:rsidR="0072025D" w:rsidRPr="0072025D" w:rsidRDefault="0072025D" w:rsidP="0072025D">
            <w:pPr>
              <w:jc w:val="right"/>
              <w:rPr>
                <w:rFonts w:ascii="Arial" w:hAnsi="Arial" w:cs="Arial"/>
                <w:sz w:val="20"/>
                <w:szCs w:val="20"/>
              </w:rPr>
            </w:pPr>
          </w:p>
        </w:tc>
      </w:tr>
      <w:tr w:rsidR="0072025D" w14:paraId="22144D7B" w14:textId="77777777" w:rsidTr="0072025D">
        <w:trPr>
          <w:jc w:val="center"/>
        </w:trPr>
        <w:tc>
          <w:tcPr>
            <w:tcW w:w="0" w:type="auto"/>
            <w:vAlign w:val="center"/>
          </w:tcPr>
          <w:p w14:paraId="382A45D5"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5.Offices, Hotels, Health, Services</w:t>
            </w:r>
          </w:p>
        </w:tc>
        <w:tc>
          <w:tcPr>
            <w:tcW w:w="0" w:type="auto"/>
            <w:vAlign w:val="center"/>
          </w:tcPr>
          <w:p w14:paraId="48C5C582" w14:textId="75573844" w:rsidR="0072025D" w:rsidRPr="0072025D" w:rsidRDefault="0072025D" w:rsidP="0072025D">
            <w:pPr>
              <w:jc w:val="right"/>
              <w:rPr>
                <w:rFonts w:ascii="Arial" w:hAnsi="Arial" w:cs="Arial"/>
                <w:sz w:val="20"/>
                <w:szCs w:val="20"/>
              </w:rPr>
            </w:pPr>
          </w:p>
        </w:tc>
        <w:tc>
          <w:tcPr>
            <w:tcW w:w="0" w:type="auto"/>
            <w:vAlign w:val="center"/>
          </w:tcPr>
          <w:p w14:paraId="6636F0DA" w14:textId="3D3D579F" w:rsidR="0072025D" w:rsidRPr="0072025D" w:rsidRDefault="0072025D" w:rsidP="0072025D">
            <w:pPr>
              <w:jc w:val="right"/>
              <w:rPr>
                <w:rFonts w:ascii="Arial" w:hAnsi="Arial" w:cs="Arial"/>
                <w:sz w:val="20"/>
                <w:szCs w:val="20"/>
              </w:rPr>
            </w:pPr>
          </w:p>
        </w:tc>
        <w:tc>
          <w:tcPr>
            <w:tcW w:w="0" w:type="auto"/>
            <w:vAlign w:val="center"/>
          </w:tcPr>
          <w:p w14:paraId="64C2D939" w14:textId="00EA72A8" w:rsidR="0072025D" w:rsidRPr="0072025D" w:rsidRDefault="0072025D" w:rsidP="0072025D">
            <w:pPr>
              <w:jc w:val="right"/>
              <w:rPr>
                <w:rFonts w:ascii="Arial" w:hAnsi="Arial" w:cs="Arial"/>
                <w:sz w:val="20"/>
                <w:szCs w:val="20"/>
              </w:rPr>
            </w:pPr>
          </w:p>
        </w:tc>
      </w:tr>
      <w:tr w:rsidR="0072025D" w14:paraId="1607FA9F" w14:textId="77777777" w:rsidTr="0072025D">
        <w:trPr>
          <w:jc w:val="center"/>
        </w:trPr>
        <w:tc>
          <w:tcPr>
            <w:tcW w:w="0" w:type="auto"/>
          </w:tcPr>
          <w:p w14:paraId="7FED1F21"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6.Schools</w:t>
            </w:r>
          </w:p>
        </w:tc>
        <w:tc>
          <w:tcPr>
            <w:tcW w:w="0" w:type="auto"/>
            <w:vAlign w:val="center"/>
          </w:tcPr>
          <w:p w14:paraId="46D01EB6" w14:textId="79A3D38B" w:rsidR="0072025D" w:rsidRPr="0072025D" w:rsidRDefault="0072025D" w:rsidP="0072025D">
            <w:pPr>
              <w:jc w:val="right"/>
              <w:rPr>
                <w:rFonts w:ascii="Arial" w:hAnsi="Arial" w:cs="Arial"/>
                <w:sz w:val="20"/>
                <w:szCs w:val="20"/>
              </w:rPr>
            </w:pPr>
          </w:p>
        </w:tc>
        <w:tc>
          <w:tcPr>
            <w:tcW w:w="0" w:type="auto"/>
            <w:vAlign w:val="center"/>
          </w:tcPr>
          <w:p w14:paraId="39371159" w14:textId="2E9DDFEA" w:rsidR="0072025D" w:rsidRPr="0072025D" w:rsidRDefault="0072025D" w:rsidP="0072025D">
            <w:pPr>
              <w:jc w:val="right"/>
              <w:rPr>
                <w:rFonts w:ascii="Arial" w:hAnsi="Arial" w:cs="Arial"/>
                <w:sz w:val="20"/>
                <w:szCs w:val="20"/>
              </w:rPr>
            </w:pPr>
          </w:p>
        </w:tc>
        <w:tc>
          <w:tcPr>
            <w:tcW w:w="0" w:type="auto"/>
            <w:vAlign w:val="center"/>
          </w:tcPr>
          <w:p w14:paraId="10A14605" w14:textId="2E167547" w:rsidR="0072025D" w:rsidRPr="0072025D" w:rsidRDefault="0072025D" w:rsidP="0072025D">
            <w:pPr>
              <w:jc w:val="right"/>
              <w:rPr>
                <w:rFonts w:ascii="Arial" w:hAnsi="Arial" w:cs="Arial"/>
                <w:sz w:val="20"/>
                <w:szCs w:val="20"/>
              </w:rPr>
            </w:pPr>
          </w:p>
        </w:tc>
      </w:tr>
      <w:tr w:rsidR="0072025D" w14:paraId="4F18F1E4" w14:textId="77777777" w:rsidTr="0072025D">
        <w:trPr>
          <w:jc w:val="center"/>
        </w:trPr>
        <w:tc>
          <w:tcPr>
            <w:tcW w:w="0" w:type="auto"/>
          </w:tcPr>
          <w:p w14:paraId="4B266035" w14:textId="77777777" w:rsidR="0072025D" w:rsidRPr="007E0A27" w:rsidRDefault="0072025D" w:rsidP="0072025D">
            <w:pPr>
              <w:keepNext/>
              <w:keepLines/>
              <w:rPr>
                <w:rFonts w:ascii="Arial" w:hAnsi="Arial"/>
                <w:sz w:val="20"/>
                <w:szCs w:val="22"/>
              </w:rPr>
            </w:pPr>
            <w:r w:rsidRPr="007E0A27">
              <w:rPr>
                <w:rFonts w:ascii="Arial" w:hAnsi="Arial" w:cs="Arial"/>
                <w:sz w:val="20"/>
                <w:szCs w:val="20"/>
              </w:rPr>
              <w:t>7.Ent</w:t>
            </w:r>
            <w:r>
              <w:rPr>
                <w:rFonts w:ascii="Arial" w:hAnsi="Arial" w:cs="Arial"/>
                <w:sz w:val="20"/>
                <w:szCs w:val="20"/>
              </w:rPr>
              <w:t>ertainment</w:t>
            </w:r>
            <w:r w:rsidRPr="007E0A27">
              <w:rPr>
                <w:rFonts w:ascii="Arial" w:hAnsi="Arial" w:cs="Arial"/>
                <w:sz w:val="20"/>
                <w:szCs w:val="20"/>
              </w:rPr>
              <w:t xml:space="preserve">, Other </w:t>
            </w:r>
            <w:r>
              <w:rPr>
                <w:rFonts w:ascii="Arial" w:hAnsi="Arial" w:cs="Arial"/>
                <w:sz w:val="20"/>
                <w:szCs w:val="20"/>
              </w:rPr>
              <w:t>Services</w:t>
            </w:r>
            <w:r w:rsidRPr="007E0A27">
              <w:rPr>
                <w:rFonts w:ascii="Arial" w:hAnsi="Arial" w:cs="Arial"/>
                <w:sz w:val="20"/>
                <w:szCs w:val="20"/>
              </w:rPr>
              <w:t>, Gov</w:t>
            </w:r>
            <w:r>
              <w:rPr>
                <w:rFonts w:ascii="Arial" w:hAnsi="Arial" w:cs="Arial"/>
                <w:sz w:val="20"/>
                <w:szCs w:val="20"/>
              </w:rPr>
              <w:t>ernmen</w:t>
            </w:r>
            <w:r w:rsidRPr="007E0A27">
              <w:rPr>
                <w:rFonts w:ascii="Arial" w:hAnsi="Arial" w:cs="Arial"/>
                <w:sz w:val="20"/>
                <w:szCs w:val="20"/>
              </w:rPr>
              <w:t>t.</w:t>
            </w:r>
          </w:p>
        </w:tc>
        <w:tc>
          <w:tcPr>
            <w:tcW w:w="0" w:type="auto"/>
            <w:vAlign w:val="center"/>
          </w:tcPr>
          <w:p w14:paraId="1A459ECF" w14:textId="786E5189" w:rsidR="0072025D" w:rsidRPr="0072025D" w:rsidRDefault="0072025D" w:rsidP="0072025D">
            <w:pPr>
              <w:jc w:val="right"/>
              <w:rPr>
                <w:rFonts w:ascii="Arial" w:hAnsi="Arial" w:cs="Arial"/>
                <w:sz w:val="20"/>
                <w:szCs w:val="20"/>
              </w:rPr>
            </w:pPr>
          </w:p>
        </w:tc>
        <w:tc>
          <w:tcPr>
            <w:tcW w:w="0" w:type="auto"/>
            <w:vAlign w:val="center"/>
          </w:tcPr>
          <w:p w14:paraId="7BEA1E99" w14:textId="5D7F51B4" w:rsidR="0072025D" w:rsidRPr="0072025D" w:rsidRDefault="0072025D" w:rsidP="0072025D">
            <w:pPr>
              <w:jc w:val="right"/>
              <w:rPr>
                <w:rFonts w:ascii="Arial" w:hAnsi="Arial" w:cs="Arial"/>
                <w:sz w:val="20"/>
                <w:szCs w:val="20"/>
              </w:rPr>
            </w:pPr>
          </w:p>
        </w:tc>
        <w:tc>
          <w:tcPr>
            <w:tcW w:w="0" w:type="auto"/>
            <w:vAlign w:val="center"/>
          </w:tcPr>
          <w:p w14:paraId="5FA4C4A6" w14:textId="1CF77CE6" w:rsidR="0072025D" w:rsidRPr="0072025D" w:rsidRDefault="0072025D" w:rsidP="0072025D">
            <w:pPr>
              <w:jc w:val="right"/>
              <w:rPr>
                <w:rFonts w:ascii="Arial" w:hAnsi="Arial" w:cs="Arial"/>
                <w:sz w:val="20"/>
                <w:szCs w:val="20"/>
              </w:rPr>
            </w:pPr>
          </w:p>
        </w:tc>
      </w:tr>
      <w:tr w:rsidR="0072025D" w14:paraId="4C72AA95" w14:textId="77777777" w:rsidTr="0072025D">
        <w:trPr>
          <w:jc w:val="center"/>
        </w:trPr>
        <w:tc>
          <w:tcPr>
            <w:tcW w:w="0" w:type="auto"/>
          </w:tcPr>
          <w:p w14:paraId="0B048CA7" w14:textId="77777777" w:rsidR="0072025D" w:rsidRPr="007E0A27" w:rsidRDefault="0072025D" w:rsidP="0072025D">
            <w:pPr>
              <w:keepNext/>
              <w:keepLines/>
              <w:rPr>
                <w:rFonts w:ascii="Arial" w:hAnsi="Arial"/>
                <w:b/>
                <w:sz w:val="20"/>
                <w:szCs w:val="22"/>
              </w:rPr>
            </w:pPr>
            <w:r w:rsidRPr="007E0A27">
              <w:rPr>
                <w:rFonts w:ascii="Arial" w:hAnsi="Arial"/>
                <w:b/>
                <w:sz w:val="20"/>
                <w:szCs w:val="22"/>
              </w:rPr>
              <w:t>TOTAL</w:t>
            </w:r>
          </w:p>
        </w:tc>
        <w:tc>
          <w:tcPr>
            <w:tcW w:w="0" w:type="auto"/>
            <w:vAlign w:val="center"/>
          </w:tcPr>
          <w:p w14:paraId="48948775" w14:textId="1E3112BF" w:rsidR="0072025D" w:rsidRPr="0072025D" w:rsidRDefault="0072025D" w:rsidP="0072025D">
            <w:pPr>
              <w:jc w:val="right"/>
              <w:rPr>
                <w:rFonts w:ascii="Arial" w:hAnsi="Arial" w:cs="Arial"/>
                <w:b/>
                <w:sz w:val="20"/>
                <w:szCs w:val="20"/>
              </w:rPr>
            </w:pPr>
            <w:r w:rsidRPr="0072025D">
              <w:rPr>
                <w:rFonts w:ascii="Arial" w:hAnsi="Arial" w:cs="Arial"/>
                <w:b/>
                <w:sz w:val="20"/>
                <w:szCs w:val="20"/>
              </w:rPr>
              <w:t>99</w:t>
            </w:r>
          </w:p>
        </w:tc>
        <w:tc>
          <w:tcPr>
            <w:tcW w:w="0" w:type="auto"/>
            <w:vAlign w:val="center"/>
          </w:tcPr>
          <w:p w14:paraId="051D7477" w14:textId="77872374" w:rsidR="0072025D" w:rsidRPr="0072025D" w:rsidRDefault="0072025D" w:rsidP="0072025D">
            <w:pPr>
              <w:jc w:val="right"/>
              <w:rPr>
                <w:rFonts w:ascii="Arial" w:hAnsi="Arial" w:cs="Arial"/>
                <w:b/>
                <w:sz w:val="20"/>
                <w:szCs w:val="20"/>
              </w:rPr>
            </w:pPr>
            <w:r w:rsidRPr="0072025D">
              <w:rPr>
                <w:rFonts w:ascii="Arial" w:hAnsi="Arial" w:cs="Arial"/>
                <w:b/>
                <w:sz w:val="20"/>
                <w:szCs w:val="20"/>
              </w:rPr>
              <w:t>59.5</w:t>
            </w:r>
          </w:p>
        </w:tc>
        <w:tc>
          <w:tcPr>
            <w:tcW w:w="0" w:type="auto"/>
            <w:vAlign w:val="center"/>
          </w:tcPr>
          <w:p w14:paraId="5609AE5B" w14:textId="2879E3FD" w:rsidR="0072025D" w:rsidRPr="0072025D" w:rsidRDefault="0072025D" w:rsidP="00F97709">
            <w:pPr>
              <w:jc w:val="right"/>
              <w:rPr>
                <w:rFonts w:ascii="Arial" w:hAnsi="Arial" w:cs="Arial"/>
                <w:b/>
                <w:sz w:val="20"/>
                <w:szCs w:val="20"/>
              </w:rPr>
            </w:pPr>
            <w:r w:rsidRPr="0072025D">
              <w:rPr>
                <w:rFonts w:ascii="Arial" w:hAnsi="Arial" w:cs="Arial"/>
                <w:b/>
                <w:sz w:val="20"/>
                <w:szCs w:val="20"/>
              </w:rPr>
              <w:t>8.</w:t>
            </w:r>
            <w:r w:rsidR="00F97709">
              <w:rPr>
                <w:rFonts w:ascii="Arial" w:hAnsi="Arial" w:cs="Arial"/>
                <w:b/>
                <w:sz w:val="20"/>
                <w:szCs w:val="20"/>
              </w:rPr>
              <w:t>8</w:t>
            </w:r>
            <w:r w:rsidRPr="0072025D">
              <w:rPr>
                <w:rFonts w:ascii="Arial" w:hAnsi="Arial" w:cs="Arial"/>
                <w:b/>
                <w:sz w:val="20"/>
                <w:szCs w:val="20"/>
              </w:rPr>
              <w:t>%</w:t>
            </w:r>
          </w:p>
        </w:tc>
      </w:tr>
    </w:tbl>
    <w:p w14:paraId="6606E194" w14:textId="77777777" w:rsidR="00F24E32" w:rsidRDefault="00F24E32" w:rsidP="00F24E32"/>
    <w:p w14:paraId="3108E799" w14:textId="77777777" w:rsidR="00321E09" w:rsidRPr="004D227E" w:rsidRDefault="00321E09" w:rsidP="007469E5">
      <w:pPr>
        <w:pStyle w:val="TableCaption"/>
        <w:keepNext/>
        <w:keepLines/>
      </w:pPr>
      <w:bookmarkStart w:id="83" w:name="_Toc415761871"/>
      <w:r w:rsidRPr="004D227E">
        <w:lastRenderedPageBreak/>
        <w:t>Table 2.6: DBP Bidding Behavior</w:t>
      </w:r>
      <w:r w:rsidR="00E32794" w:rsidRPr="004D227E">
        <w:t xml:space="preserve">, </w:t>
      </w:r>
      <w:r w:rsidRPr="004D227E">
        <w:rPr>
          <w:i/>
        </w:rPr>
        <w:t>SCE</w:t>
      </w:r>
      <w:bookmarkEnd w:id="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3"/>
        <w:gridCol w:w="1088"/>
        <w:gridCol w:w="1820"/>
        <w:gridCol w:w="2029"/>
      </w:tblGrid>
      <w:tr w:rsidR="007469E5" w:rsidRPr="004D227E" w14:paraId="41C1D9F5" w14:textId="77777777" w:rsidTr="0005199B">
        <w:trPr>
          <w:jc w:val="center"/>
        </w:trPr>
        <w:tc>
          <w:tcPr>
            <w:tcW w:w="0" w:type="auto"/>
            <w:shd w:val="clear" w:color="auto" w:fill="D9E2F3"/>
            <w:vAlign w:val="center"/>
          </w:tcPr>
          <w:p w14:paraId="3DA9A396" w14:textId="77777777" w:rsidR="007469E5" w:rsidRPr="004D227E" w:rsidRDefault="007469E5" w:rsidP="007E0A27">
            <w:pPr>
              <w:keepNext/>
              <w:keepLines/>
              <w:jc w:val="center"/>
              <w:rPr>
                <w:rFonts w:ascii="Arial" w:hAnsi="Arial"/>
                <w:b/>
                <w:sz w:val="20"/>
                <w:szCs w:val="22"/>
              </w:rPr>
            </w:pPr>
            <w:r w:rsidRPr="004D227E">
              <w:rPr>
                <w:rFonts w:ascii="Arial" w:hAnsi="Arial"/>
                <w:b/>
                <w:sz w:val="20"/>
                <w:szCs w:val="22"/>
              </w:rPr>
              <w:t>Industry Type</w:t>
            </w:r>
          </w:p>
        </w:tc>
        <w:tc>
          <w:tcPr>
            <w:tcW w:w="0" w:type="auto"/>
            <w:shd w:val="clear" w:color="auto" w:fill="D9E2F3"/>
            <w:vAlign w:val="center"/>
          </w:tcPr>
          <w:p w14:paraId="2FF58484" w14:textId="77777777" w:rsidR="007469E5" w:rsidRPr="004D227E" w:rsidRDefault="007469E5" w:rsidP="007E0A27">
            <w:pPr>
              <w:keepNext/>
              <w:keepLines/>
              <w:jc w:val="center"/>
              <w:rPr>
                <w:rFonts w:ascii="Arial" w:hAnsi="Arial"/>
                <w:b/>
                <w:sz w:val="20"/>
                <w:szCs w:val="22"/>
              </w:rPr>
            </w:pPr>
            <w:r w:rsidRPr="004D227E">
              <w:rPr>
                <w:rFonts w:ascii="Arial" w:hAnsi="Arial"/>
                <w:b/>
                <w:sz w:val="20"/>
                <w:szCs w:val="22"/>
              </w:rPr>
              <w:t># Bidders</w:t>
            </w:r>
          </w:p>
        </w:tc>
        <w:tc>
          <w:tcPr>
            <w:tcW w:w="0" w:type="auto"/>
            <w:shd w:val="clear" w:color="auto" w:fill="D9E2F3"/>
          </w:tcPr>
          <w:p w14:paraId="78E97951" w14:textId="77777777" w:rsidR="007469E5" w:rsidRPr="004D227E" w:rsidRDefault="007469E5" w:rsidP="007E0A27">
            <w:pPr>
              <w:keepNext/>
              <w:keepLines/>
              <w:jc w:val="center"/>
              <w:rPr>
                <w:rFonts w:ascii="Arial" w:hAnsi="Arial"/>
                <w:b/>
                <w:sz w:val="20"/>
                <w:szCs w:val="22"/>
              </w:rPr>
            </w:pPr>
            <w:r w:rsidRPr="004D227E">
              <w:rPr>
                <w:rFonts w:ascii="Arial" w:hAnsi="Arial"/>
                <w:b/>
                <w:sz w:val="20"/>
                <w:szCs w:val="22"/>
              </w:rPr>
              <w:t>Avg. Hourly Bid MW</w:t>
            </w:r>
          </w:p>
        </w:tc>
        <w:tc>
          <w:tcPr>
            <w:tcW w:w="0" w:type="auto"/>
            <w:shd w:val="clear" w:color="auto" w:fill="D9E2F3"/>
          </w:tcPr>
          <w:p w14:paraId="2FE00F90" w14:textId="77777777" w:rsidR="007469E5" w:rsidRPr="004D227E" w:rsidRDefault="007469E5" w:rsidP="001E4A1D">
            <w:pPr>
              <w:keepNext/>
              <w:keepLines/>
              <w:jc w:val="center"/>
              <w:rPr>
                <w:rFonts w:ascii="Arial" w:hAnsi="Arial"/>
                <w:b/>
                <w:sz w:val="20"/>
                <w:szCs w:val="22"/>
              </w:rPr>
            </w:pPr>
            <w:r w:rsidRPr="004D227E">
              <w:rPr>
                <w:rFonts w:ascii="Arial" w:hAnsi="Arial"/>
                <w:b/>
                <w:sz w:val="20"/>
                <w:szCs w:val="22"/>
              </w:rPr>
              <w:t>% of Enrolled Max MW</w:t>
            </w:r>
          </w:p>
        </w:tc>
      </w:tr>
      <w:tr w:rsidR="00C52109" w:rsidRPr="004D227E" w14:paraId="685AF317" w14:textId="77777777" w:rsidTr="00C52109">
        <w:trPr>
          <w:jc w:val="center"/>
        </w:trPr>
        <w:tc>
          <w:tcPr>
            <w:tcW w:w="0" w:type="auto"/>
          </w:tcPr>
          <w:p w14:paraId="44D37341"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1.Agriculture, Mining, Construction</w:t>
            </w:r>
          </w:p>
        </w:tc>
        <w:tc>
          <w:tcPr>
            <w:tcW w:w="0" w:type="auto"/>
            <w:vAlign w:val="center"/>
          </w:tcPr>
          <w:p w14:paraId="7EF969FD" w14:textId="3F703A13" w:rsidR="00C52109" w:rsidRPr="00C52109" w:rsidRDefault="00C52109" w:rsidP="00C52109">
            <w:pPr>
              <w:jc w:val="right"/>
              <w:rPr>
                <w:rFonts w:ascii="Arial" w:hAnsi="Arial" w:cs="Arial"/>
                <w:sz w:val="20"/>
                <w:szCs w:val="20"/>
              </w:rPr>
            </w:pPr>
          </w:p>
        </w:tc>
        <w:tc>
          <w:tcPr>
            <w:tcW w:w="0" w:type="auto"/>
            <w:vAlign w:val="center"/>
          </w:tcPr>
          <w:p w14:paraId="416405E6" w14:textId="081597E1" w:rsidR="00C52109" w:rsidRPr="00C52109" w:rsidRDefault="00C52109" w:rsidP="00C52109">
            <w:pPr>
              <w:jc w:val="right"/>
              <w:rPr>
                <w:rFonts w:ascii="Arial" w:hAnsi="Arial" w:cs="Arial"/>
                <w:sz w:val="20"/>
                <w:szCs w:val="20"/>
              </w:rPr>
            </w:pPr>
          </w:p>
        </w:tc>
        <w:tc>
          <w:tcPr>
            <w:tcW w:w="0" w:type="auto"/>
            <w:vAlign w:val="center"/>
          </w:tcPr>
          <w:p w14:paraId="35430D1D" w14:textId="6B7BD134" w:rsidR="00C52109" w:rsidRPr="00C52109" w:rsidRDefault="00C52109" w:rsidP="00C52109">
            <w:pPr>
              <w:jc w:val="right"/>
              <w:rPr>
                <w:rFonts w:ascii="Arial" w:hAnsi="Arial" w:cs="Arial"/>
                <w:sz w:val="20"/>
                <w:szCs w:val="20"/>
              </w:rPr>
            </w:pPr>
          </w:p>
        </w:tc>
      </w:tr>
      <w:tr w:rsidR="00C52109" w:rsidRPr="004D227E" w14:paraId="3AC7483E" w14:textId="77777777" w:rsidTr="00C52109">
        <w:trPr>
          <w:jc w:val="center"/>
        </w:trPr>
        <w:tc>
          <w:tcPr>
            <w:tcW w:w="0" w:type="auto"/>
          </w:tcPr>
          <w:p w14:paraId="042CA63B"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2.Manufacturing</w:t>
            </w:r>
          </w:p>
        </w:tc>
        <w:tc>
          <w:tcPr>
            <w:tcW w:w="0" w:type="auto"/>
            <w:vAlign w:val="center"/>
          </w:tcPr>
          <w:p w14:paraId="3FF1D5FD" w14:textId="7963DEE6" w:rsidR="00C52109" w:rsidRPr="00C52109" w:rsidRDefault="00C52109" w:rsidP="00C52109">
            <w:pPr>
              <w:jc w:val="right"/>
              <w:rPr>
                <w:rFonts w:ascii="Arial" w:hAnsi="Arial" w:cs="Arial"/>
                <w:sz w:val="20"/>
                <w:szCs w:val="20"/>
              </w:rPr>
            </w:pPr>
            <w:r w:rsidRPr="00C52109">
              <w:rPr>
                <w:rFonts w:ascii="Arial" w:hAnsi="Arial" w:cs="Arial"/>
                <w:sz w:val="20"/>
                <w:szCs w:val="20"/>
              </w:rPr>
              <w:t>148</w:t>
            </w:r>
          </w:p>
        </w:tc>
        <w:tc>
          <w:tcPr>
            <w:tcW w:w="0" w:type="auto"/>
            <w:vAlign w:val="center"/>
          </w:tcPr>
          <w:p w14:paraId="3BAB195C" w14:textId="132AE117" w:rsidR="00C52109" w:rsidRPr="00C52109" w:rsidRDefault="00C52109" w:rsidP="00C52109">
            <w:pPr>
              <w:jc w:val="right"/>
              <w:rPr>
                <w:rFonts w:ascii="Arial" w:hAnsi="Arial" w:cs="Arial"/>
                <w:sz w:val="20"/>
                <w:szCs w:val="20"/>
              </w:rPr>
            </w:pPr>
            <w:r>
              <w:rPr>
                <w:rFonts w:ascii="Arial" w:hAnsi="Arial" w:cs="Arial"/>
                <w:sz w:val="20"/>
                <w:szCs w:val="20"/>
              </w:rPr>
              <w:t>111.8</w:t>
            </w:r>
          </w:p>
        </w:tc>
        <w:tc>
          <w:tcPr>
            <w:tcW w:w="0" w:type="auto"/>
            <w:vAlign w:val="center"/>
          </w:tcPr>
          <w:p w14:paraId="2DF8BF15" w14:textId="09846772" w:rsidR="00C52109" w:rsidRPr="00C52109" w:rsidRDefault="00C52109" w:rsidP="00C52109">
            <w:pPr>
              <w:jc w:val="right"/>
              <w:rPr>
                <w:rFonts w:ascii="Arial" w:hAnsi="Arial" w:cs="Arial"/>
                <w:sz w:val="20"/>
                <w:szCs w:val="20"/>
              </w:rPr>
            </w:pPr>
            <w:r w:rsidRPr="00C52109">
              <w:rPr>
                <w:rFonts w:ascii="Arial" w:hAnsi="Arial" w:cs="Arial"/>
                <w:sz w:val="20"/>
                <w:szCs w:val="20"/>
              </w:rPr>
              <w:t>24.5%</w:t>
            </w:r>
          </w:p>
        </w:tc>
      </w:tr>
      <w:tr w:rsidR="00C52109" w:rsidRPr="004D227E" w14:paraId="1E02C4D9" w14:textId="77777777" w:rsidTr="00C52109">
        <w:trPr>
          <w:jc w:val="center"/>
        </w:trPr>
        <w:tc>
          <w:tcPr>
            <w:tcW w:w="0" w:type="auto"/>
          </w:tcPr>
          <w:p w14:paraId="0A2B5489"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3.Wholesale, Transportation, Utilities</w:t>
            </w:r>
          </w:p>
        </w:tc>
        <w:tc>
          <w:tcPr>
            <w:tcW w:w="0" w:type="auto"/>
            <w:vAlign w:val="center"/>
          </w:tcPr>
          <w:p w14:paraId="3B56AF5C" w14:textId="72462848" w:rsidR="00C52109" w:rsidRPr="00C52109" w:rsidRDefault="00C52109" w:rsidP="00C52109">
            <w:pPr>
              <w:jc w:val="right"/>
              <w:rPr>
                <w:rFonts w:ascii="Arial" w:hAnsi="Arial" w:cs="Arial"/>
                <w:sz w:val="20"/>
                <w:szCs w:val="20"/>
              </w:rPr>
            </w:pPr>
            <w:r w:rsidRPr="00C52109">
              <w:rPr>
                <w:rFonts w:ascii="Arial" w:hAnsi="Arial" w:cs="Arial"/>
                <w:sz w:val="20"/>
                <w:szCs w:val="20"/>
              </w:rPr>
              <w:t>61</w:t>
            </w:r>
          </w:p>
        </w:tc>
        <w:tc>
          <w:tcPr>
            <w:tcW w:w="0" w:type="auto"/>
            <w:vAlign w:val="center"/>
          </w:tcPr>
          <w:p w14:paraId="079240FB" w14:textId="1B224B27" w:rsidR="00C52109" w:rsidRPr="00C52109" w:rsidRDefault="00C52109" w:rsidP="00C52109">
            <w:pPr>
              <w:jc w:val="right"/>
              <w:rPr>
                <w:rFonts w:ascii="Arial" w:hAnsi="Arial" w:cs="Arial"/>
                <w:sz w:val="20"/>
                <w:szCs w:val="20"/>
              </w:rPr>
            </w:pPr>
            <w:r>
              <w:rPr>
                <w:rFonts w:ascii="Arial" w:hAnsi="Arial" w:cs="Arial"/>
                <w:sz w:val="20"/>
                <w:szCs w:val="20"/>
              </w:rPr>
              <w:t>19.7</w:t>
            </w:r>
          </w:p>
        </w:tc>
        <w:tc>
          <w:tcPr>
            <w:tcW w:w="0" w:type="auto"/>
            <w:vAlign w:val="center"/>
          </w:tcPr>
          <w:p w14:paraId="10D38785" w14:textId="5444C38B" w:rsidR="00C52109" w:rsidRPr="00C52109" w:rsidRDefault="00C52109" w:rsidP="00C52109">
            <w:pPr>
              <w:jc w:val="right"/>
              <w:rPr>
                <w:rFonts w:ascii="Arial" w:hAnsi="Arial" w:cs="Arial"/>
                <w:sz w:val="20"/>
                <w:szCs w:val="20"/>
              </w:rPr>
            </w:pPr>
            <w:r w:rsidRPr="00C52109">
              <w:rPr>
                <w:rFonts w:ascii="Arial" w:hAnsi="Arial" w:cs="Arial"/>
                <w:sz w:val="20"/>
                <w:szCs w:val="20"/>
              </w:rPr>
              <w:t>29.3%</w:t>
            </w:r>
          </w:p>
        </w:tc>
      </w:tr>
      <w:tr w:rsidR="00C52109" w:rsidRPr="004D227E" w14:paraId="3E7BB9B0" w14:textId="77777777" w:rsidTr="00C52109">
        <w:trPr>
          <w:jc w:val="center"/>
        </w:trPr>
        <w:tc>
          <w:tcPr>
            <w:tcW w:w="0" w:type="auto"/>
          </w:tcPr>
          <w:p w14:paraId="6B466FE7"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4.Retail</w:t>
            </w:r>
          </w:p>
        </w:tc>
        <w:tc>
          <w:tcPr>
            <w:tcW w:w="0" w:type="auto"/>
            <w:vAlign w:val="center"/>
          </w:tcPr>
          <w:p w14:paraId="083FDE2B" w14:textId="2743D1D4" w:rsidR="00C52109" w:rsidRPr="00C52109" w:rsidRDefault="00C52109" w:rsidP="00C52109">
            <w:pPr>
              <w:jc w:val="right"/>
              <w:rPr>
                <w:rFonts w:ascii="Arial" w:hAnsi="Arial" w:cs="Arial"/>
                <w:sz w:val="20"/>
                <w:szCs w:val="20"/>
              </w:rPr>
            </w:pPr>
          </w:p>
        </w:tc>
        <w:tc>
          <w:tcPr>
            <w:tcW w:w="0" w:type="auto"/>
            <w:vAlign w:val="center"/>
          </w:tcPr>
          <w:p w14:paraId="153AC4CE" w14:textId="364C46C5" w:rsidR="00C52109" w:rsidRPr="00C52109" w:rsidRDefault="00C52109" w:rsidP="00C52109">
            <w:pPr>
              <w:jc w:val="right"/>
              <w:rPr>
                <w:rFonts w:ascii="Arial" w:hAnsi="Arial" w:cs="Arial"/>
                <w:sz w:val="20"/>
                <w:szCs w:val="20"/>
              </w:rPr>
            </w:pPr>
          </w:p>
        </w:tc>
        <w:tc>
          <w:tcPr>
            <w:tcW w:w="0" w:type="auto"/>
            <w:vAlign w:val="center"/>
          </w:tcPr>
          <w:p w14:paraId="0A9CDA9F" w14:textId="4F70D29A" w:rsidR="00C52109" w:rsidRPr="00C52109" w:rsidRDefault="00C52109" w:rsidP="00C52109">
            <w:pPr>
              <w:jc w:val="right"/>
              <w:rPr>
                <w:rFonts w:ascii="Arial" w:hAnsi="Arial" w:cs="Arial"/>
                <w:sz w:val="20"/>
                <w:szCs w:val="20"/>
              </w:rPr>
            </w:pPr>
          </w:p>
        </w:tc>
      </w:tr>
      <w:tr w:rsidR="00C52109" w:rsidRPr="004D227E" w14:paraId="28CACFEB" w14:textId="77777777" w:rsidTr="00C52109">
        <w:trPr>
          <w:jc w:val="center"/>
        </w:trPr>
        <w:tc>
          <w:tcPr>
            <w:tcW w:w="0" w:type="auto"/>
            <w:vAlign w:val="center"/>
          </w:tcPr>
          <w:p w14:paraId="2B8F6A0F"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5.Offices, Hotels, Health, Services</w:t>
            </w:r>
          </w:p>
        </w:tc>
        <w:tc>
          <w:tcPr>
            <w:tcW w:w="0" w:type="auto"/>
            <w:vAlign w:val="center"/>
          </w:tcPr>
          <w:p w14:paraId="37E4821D" w14:textId="1E16E8EF" w:rsidR="00C52109" w:rsidRPr="00C52109" w:rsidRDefault="00C52109" w:rsidP="00C52109">
            <w:pPr>
              <w:jc w:val="right"/>
              <w:rPr>
                <w:rFonts w:ascii="Arial" w:hAnsi="Arial" w:cs="Arial"/>
                <w:sz w:val="20"/>
                <w:szCs w:val="20"/>
              </w:rPr>
            </w:pPr>
            <w:r w:rsidRPr="00C52109">
              <w:rPr>
                <w:rFonts w:ascii="Arial" w:hAnsi="Arial" w:cs="Arial"/>
                <w:sz w:val="20"/>
                <w:szCs w:val="20"/>
              </w:rPr>
              <w:t>99</w:t>
            </w:r>
          </w:p>
        </w:tc>
        <w:tc>
          <w:tcPr>
            <w:tcW w:w="0" w:type="auto"/>
            <w:vAlign w:val="center"/>
          </w:tcPr>
          <w:p w14:paraId="54606302" w14:textId="55E225CD" w:rsidR="00C52109" w:rsidRPr="00C52109" w:rsidRDefault="00C52109" w:rsidP="00C52109">
            <w:pPr>
              <w:jc w:val="right"/>
              <w:rPr>
                <w:rFonts w:ascii="Arial" w:hAnsi="Arial" w:cs="Arial"/>
                <w:sz w:val="20"/>
                <w:szCs w:val="20"/>
              </w:rPr>
            </w:pPr>
            <w:r>
              <w:rPr>
                <w:rFonts w:ascii="Arial" w:hAnsi="Arial" w:cs="Arial"/>
                <w:sz w:val="20"/>
                <w:szCs w:val="20"/>
              </w:rPr>
              <w:t>11.3</w:t>
            </w:r>
          </w:p>
        </w:tc>
        <w:tc>
          <w:tcPr>
            <w:tcW w:w="0" w:type="auto"/>
            <w:vAlign w:val="center"/>
          </w:tcPr>
          <w:p w14:paraId="10C320B7" w14:textId="24FB8F14" w:rsidR="00C52109" w:rsidRPr="00C52109" w:rsidRDefault="00C52109" w:rsidP="00C52109">
            <w:pPr>
              <w:jc w:val="right"/>
              <w:rPr>
                <w:rFonts w:ascii="Arial" w:hAnsi="Arial" w:cs="Arial"/>
                <w:sz w:val="20"/>
                <w:szCs w:val="20"/>
              </w:rPr>
            </w:pPr>
            <w:r w:rsidRPr="00C52109">
              <w:rPr>
                <w:rFonts w:ascii="Arial" w:hAnsi="Arial" w:cs="Arial"/>
                <w:sz w:val="20"/>
                <w:szCs w:val="20"/>
              </w:rPr>
              <w:t>8.0%</w:t>
            </w:r>
          </w:p>
        </w:tc>
      </w:tr>
      <w:tr w:rsidR="00C52109" w:rsidRPr="004D227E" w14:paraId="70A341E4" w14:textId="77777777" w:rsidTr="00C52109">
        <w:trPr>
          <w:jc w:val="center"/>
        </w:trPr>
        <w:tc>
          <w:tcPr>
            <w:tcW w:w="0" w:type="auto"/>
          </w:tcPr>
          <w:p w14:paraId="07973022"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6.Schools</w:t>
            </w:r>
          </w:p>
        </w:tc>
        <w:tc>
          <w:tcPr>
            <w:tcW w:w="0" w:type="auto"/>
            <w:vAlign w:val="center"/>
          </w:tcPr>
          <w:p w14:paraId="4E1E3FF3" w14:textId="0247FA99" w:rsidR="00C52109" w:rsidRPr="00C52109" w:rsidRDefault="00C52109" w:rsidP="00C52109">
            <w:pPr>
              <w:jc w:val="right"/>
              <w:rPr>
                <w:rFonts w:ascii="Arial" w:hAnsi="Arial" w:cs="Arial"/>
                <w:sz w:val="20"/>
                <w:szCs w:val="20"/>
              </w:rPr>
            </w:pPr>
          </w:p>
        </w:tc>
        <w:tc>
          <w:tcPr>
            <w:tcW w:w="0" w:type="auto"/>
            <w:vAlign w:val="center"/>
          </w:tcPr>
          <w:p w14:paraId="79881E92" w14:textId="6B890314" w:rsidR="00C52109" w:rsidRPr="00C52109" w:rsidRDefault="00C52109" w:rsidP="00C52109">
            <w:pPr>
              <w:jc w:val="right"/>
              <w:rPr>
                <w:rFonts w:ascii="Arial" w:hAnsi="Arial" w:cs="Arial"/>
                <w:sz w:val="20"/>
                <w:szCs w:val="20"/>
              </w:rPr>
            </w:pPr>
          </w:p>
        </w:tc>
        <w:tc>
          <w:tcPr>
            <w:tcW w:w="0" w:type="auto"/>
            <w:vAlign w:val="center"/>
          </w:tcPr>
          <w:p w14:paraId="7609CA4F" w14:textId="6FD578D2" w:rsidR="00C52109" w:rsidRPr="00C52109" w:rsidRDefault="00C52109" w:rsidP="00C52109">
            <w:pPr>
              <w:jc w:val="right"/>
              <w:rPr>
                <w:rFonts w:ascii="Arial" w:hAnsi="Arial" w:cs="Arial"/>
                <w:sz w:val="20"/>
                <w:szCs w:val="20"/>
              </w:rPr>
            </w:pPr>
          </w:p>
        </w:tc>
      </w:tr>
      <w:tr w:rsidR="00C52109" w:rsidRPr="004D227E" w14:paraId="50258AF2" w14:textId="77777777" w:rsidTr="00C52109">
        <w:trPr>
          <w:jc w:val="center"/>
        </w:trPr>
        <w:tc>
          <w:tcPr>
            <w:tcW w:w="0" w:type="auto"/>
          </w:tcPr>
          <w:p w14:paraId="4223B825" w14:textId="77777777" w:rsidR="00C52109" w:rsidRPr="004D227E" w:rsidRDefault="00C52109" w:rsidP="00C52109">
            <w:pPr>
              <w:keepNext/>
              <w:keepLines/>
              <w:rPr>
                <w:rFonts w:ascii="Arial" w:hAnsi="Arial"/>
                <w:sz w:val="20"/>
                <w:szCs w:val="22"/>
              </w:rPr>
            </w:pPr>
            <w:r w:rsidRPr="004D227E">
              <w:rPr>
                <w:rFonts w:ascii="Arial" w:hAnsi="Arial" w:cs="Arial"/>
                <w:sz w:val="20"/>
                <w:szCs w:val="20"/>
              </w:rPr>
              <w:t>7.Entertainment, Other Services, Government.</w:t>
            </w:r>
          </w:p>
        </w:tc>
        <w:tc>
          <w:tcPr>
            <w:tcW w:w="0" w:type="auto"/>
            <w:vAlign w:val="center"/>
          </w:tcPr>
          <w:p w14:paraId="6F5C4811" w14:textId="3E8E46C5" w:rsidR="00C52109" w:rsidRPr="00C52109" w:rsidRDefault="00C52109" w:rsidP="00C52109">
            <w:pPr>
              <w:jc w:val="right"/>
              <w:rPr>
                <w:rFonts w:ascii="Arial" w:hAnsi="Arial" w:cs="Arial"/>
                <w:sz w:val="20"/>
                <w:szCs w:val="20"/>
              </w:rPr>
            </w:pPr>
            <w:r w:rsidRPr="00C52109">
              <w:rPr>
                <w:rFonts w:ascii="Arial" w:hAnsi="Arial" w:cs="Arial"/>
                <w:sz w:val="20"/>
                <w:szCs w:val="20"/>
              </w:rPr>
              <w:t>25</w:t>
            </w:r>
          </w:p>
        </w:tc>
        <w:tc>
          <w:tcPr>
            <w:tcW w:w="0" w:type="auto"/>
            <w:vAlign w:val="center"/>
          </w:tcPr>
          <w:p w14:paraId="4245B235" w14:textId="7D6BA76D" w:rsidR="00C52109" w:rsidRPr="00C52109" w:rsidRDefault="00C52109" w:rsidP="00C52109">
            <w:pPr>
              <w:jc w:val="right"/>
              <w:rPr>
                <w:rFonts w:ascii="Arial" w:hAnsi="Arial" w:cs="Arial"/>
                <w:sz w:val="20"/>
                <w:szCs w:val="20"/>
              </w:rPr>
            </w:pPr>
            <w:r>
              <w:rPr>
                <w:rFonts w:ascii="Arial" w:hAnsi="Arial" w:cs="Arial"/>
                <w:sz w:val="20"/>
                <w:szCs w:val="20"/>
              </w:rPr>
              <w:t>3.1</w:t>
            </w:r>
          </w:p>
        </w:tc>
        <w:tc>
          <w:tcPr>
            <w:tcW w:w="0" w:type="auto"/>
            <w:vAlign w:val="center"/>
          </w:tcPr>
          <w:p w14:paraId="06D262D0" w14:textId="45DBEB21" w:rsidR="00C52109" w:rsidRPr="00C52109" w:rsidRDefault="00C52109" w:rsidP="00C52109">
            <w:pPr>
              <w:jc w:val="right"/>
              <w:rPr>
                <w:rFonts w:ascii="Arial" w:hAnsi="Arial" w:cs="Arial"/>
                <w:sz w:val="20"/>
                <w:szCs w:val="20"/>
              </w:rPr>
            </w:pPr>
            <w:r w:rsidRPr="00C52109">
              <w:rPr>
                <w:rFonts w:ascii="Arial" w:hAnsi="Arial" w:cs="Arial"/>
                <w:sz w:val="20"/>
                <w:szCs w:val="20"/>
              </w:rPr>
              <w:t>3.9%</w:t>
            </w:r>
          </w:p>
        </w:tc>
      </w:tr>
      <w:tr w:rsidR="00C52109" w14:paraId="7B34D20C" w14:textId="77777777" w:rsidTr="00C52109">
        <w:trPr>
          <w:jc w:val="center"/>
        </w:trPr>
        <w:tc>
          <w:tcPr>
            <w:tcW w:w="0" w:type="auto"/>
          </w:tcPr>
          <w:p w14:paraId="4B504765" w14:textId="77777777" w:rsidR="00C52109" w:rsidRPr="004D227E" w:rsidRDefault="00C52109" w:rsidP="00C52109">
            <w:pPr>
              <w:keepNext/>
              <w:keepLines/>
              <w:rPr>
                <w:rFonts w:ascii="Arial" w:hAnsi="Arial"/>
                <w:b/>
                <w:sz w:val="20"/>
                <w:szCs w:val="22"/>
              </w:rPr>
            </w:pPr>
            <w:r w:rsidRPr="004D227E">
              <w:rPr>
                <w:rFonts w:ascii="Arial" w:hAnsi="Arial"/>
                <w:b/>
                <w:sz w:val="20"/>
                <w:szCs w:val="22"/>
              </w:rPr>
              <w:t>TOTAL</w:t>
            </w:r>
          </w:p>
        </w:tc>
        <w:tc>
          <w:tcPr>
            <w:tcW w:w="0" w:type="auto"/>
            <w:vAlign w:val="center"/>
          </w:tcPr>
          <w:p w14:paraId="61CFD398" w14:textId="3D56D641" w:rsidR="00C52109" w:rsidRPr="00C52109" w:rsidRDefault="00C52109" w:rsidP="00C52109">
            <w:pPr>
              <w:jc w:val="right"/>
              <w:rPr>
                <w:rFonts w:ascii="Arial" w:hAnsi="Arial" w:cs="Arial"/>
                <w:b/>
                <w:sz w:val="20"/>
                <w:szCs w:val="20"/>
              </w:rPr>
            </w:pPr>
            <w:r w:rsidRPr="00C52109">
              <w:rPr>
                <w:rFonts w:ascii="Arial" w:hAnsi="Arial" w:cs="Arial"/>
                <w:b/>
                <w:sz w:val="20"/>
                <w:szCs w:val="20"/>
              </w:rPr>
              <w:t>370</w:t>
            </w:r>
          </w:p>
        </w:tc>
        <w:tc>
          <w:tcPr>
            <w:tcW w:w="0" w:type="auto"/>
            <w:vAlign w:val="center"/>
          </w:tcPr>
          <w:p w14:paraId="7CF54941" w14:textId="39932FB7" w:rsidR="00C52109" w:rsidRPr="00C52109" w:rsidRDefault="00C52109" w:rsidP="00C52109">
            <w:pPr>
              <w:jc w:val="right"/>
              <w:rPr>
                <w:rFonts w:ascii="Arial" w:hAnsi="Arial" w:cs="Arial"/>
                <w:b/>
                <w:sz w:val="20"/>
                <w:szCs w:val="20"/>
              </w:rPr>
            </w:pPr>
            <w:r w:rsidRPr="00C52109">
              <w:rPr>
                <w:rFonts w:ascii="Arial" w:hAnsi="Arial" w:cs="Arial"/>
                <w:b/>
                <w:sz w:val="20"/>
                <w:szCs w:val="20"/>
              </w:rPr>
              <w:t>152.7</w:t>
            </w:r>
          </w:p>
        </w:tc>
        <w:tc>
          <w:tcPr>
            <w:tcW w:w="0" w:type="auto"/>
            <w:vAlign w:val="center"/>
          </w:tcPr>
          <w:p w14:paraId="6908370D" w14:textId="5E8A5CB0" w:rsidR="00C52109" w:rsidRPr="00C52109" w:rsidRDefault="00C52109" w:rsidP="00C52109">
            <w:pPr>
              <w:jc w:val="right"/>
              <w:rPr>
                <w:rFonts w:ascii="Arial" w:hAnsi="Arial" w:cs="Arial"/>
                <w:b/>
                <w:sz w:val="20"/>
                <w:szCs w:val="20"/>
              </w:rPr>
            </w:pPr>
            <w:r w:rsidRPr="00C52109">
              <w:rPr>
                <w:rFonts w:ascii="Arial" w:hAnsi="Arial" w:cs="Arial"/>
                <w:b/>
                <w:sz w:val="20"/>
                <w:szCs w:val="20"/>
              </w:rPr>
              <w:t>18.0%</w:t>
            </w:r>
          </w:p>
        </w:tc>
      </w:tr>
    </w:tbl>
    <w:p w14:paraId="346B1EE1" w14:textId="77777777" w:rsidR="00321E09" w:rsidRDefault="00321E09" w:rsidP="00AC2CB7"/>
    <w:p w14:paraId="0C8C75C8" w14:textId="3572F932" w:rsidR="009F7CB1" w:rsidRDefault="009F7CB1" w:rsidP="00AC2CB7">
      <w:r>
        <w:t>SDG&amp;E’s program</w:t>
      </w:r>
      <w:r w:rsidR="00BF6E97">
        <w:t>s</w:t>
      </w:r>
      <w:r>
        <w:t xml:space="preserve"> </w:t>
      </w:r>
      <w:r w:rsidR="00BF6E97">
        <w:t xml:space="preserve">each </w:t>
      </w:r>
      <w:r>
        <w:t xml:space="preserve">consist of </w:t>
      </w:r>
      <w:r w:rsidR="004F5C7C">
        <w:t xml:space="preserve">a small number of </w:t>
      </w:r>
      <w:r w:rsidR="00BF6E97">
        <w:t>service accounts</w:t>
      </w:r>
      <w:r w:rsidR="001C37C9">
        <w:t>.</w:t>
      </w:r>
      <w:r w:rsidR="00BF6E97">
        <w:t xml:space="preserve"> </w:t>
      </w:r>
      <w:r>
        <w:t>In the interest of customer confidentiality, we do not provide its LCA, industry group, or usage statistics.</w:t>
      </w:r>
    </w:p>
    <w:p w14:paraId="038F3D8C" w14:textId="77777777" w:rsidR="00321E09" w:rsidRDefault="00321E09" w:rsidP="008943AD">
      <w:pPr>
        <w:pStyle w:val="Heading2"/>
      </w:pPr>
      <w:bookmarkStart w:id="84" w:name="_Toc415761817"/>
      <w:r>
        <w:t>2.3 Event Days</w:t>
      </w:r>
      <w:bookmarkEnd w:id="84"/>
    </w:p>
    <w:p w14:paraId="2938C6B4" w14:textId="490B1F03" w:rsidR="00321E09" w:rsidRDefault="00321E09" w:rsidP="00AC2CB7">
      <w:r>
        <w:t>Table 2.7 lists DBP event days for the t</w:t>
      </w:r>
      <w:r w:rsidR="0006560A">
        <w:t xml:space="preserve">hree </w:t>
      </w:r>
      <w:r w:rsidR="001530A9">
        <w:t>IOUs</w:t>
      </w:r>
      <w:r>
        <w:t xml:space="preserve"> in 201</w:t>
      </w:r>
      <w:r w:rsidR="00152B65">
        <w:t>4</w:t>
      </w:r>
      <w:r>
        <w:t xml:space="preserve">. </w:t>
      </w:r>
      <w:r w:rsidRPr="000A774B">
        <w:t xml:space="preserve">PG&amp;E called </w:t>
      </w:r>
      <w:r w:rsidR="00152B65">
        <w:t>twelve</w:t>
      </w:r>
      <w:r w:rsidR="005F6B51">
        <w:t xml:space="preserve"> even</w:t>
      </w:r>
      <w:r w:rsidR="004C14FF">
        <w:t>ts</w:t>
      </w:r>
      <w:r w:rsidR="0006560A">
        <w:t xml:space="preserve">, </w:t>
      </w:r>
      <w:r w:rsidR="00152B65">
        <w:t xml:space="preserve">all of which </w:t>
      </w:r>
      <w:r w:rsidR="0006560A">
        <w:t>had an hour-ending 13</w:t>
      </w:r>
      <w:r w:rsidR="001530A9">
        <w:t>:00</w:t>
      </w:r>
      <w:r w:rsidR="0006560A">
        <w:t xml:space="preserve"> to 20</w:t>
      </w:r>
      <w:r w:rsidR="001530A9">
        <w:t>:00</w:t>
      </w:r>
      <w:r w:rsidR="0006560A">
        <w:t xml:space="preserve"> event window</w:t>
      </w:r>
      <w:r w:rsidR="005F6B51">
        <w:t>.</w:t>
      </w:r>
      <w:r w:rsidR="00480675">
        <w:t xml:space="preserve"> Three of the events were called for only a sub-set of </w:t>
      </w:r>
      <w:r w:rsidR="001530A9">
        <w:t xml:space="preserve">customers in </w:t>
      </w:r>
      <w:r w:rsidR="00480675">
        <w:t>PG&amp;E’s service territory.</w:t>
      </w:r>
      <w:r w:rsidR="004C14FF">
        <w:t xml:space="preserve"> </w:t>
      </w:r>
      <w:r w:rsidRPr="000A774B">
        <w:t xml:space="preserve">SCE called </w:t>
      </w:r>
      <w:r w:rsidR="00152B65">
        <w:t>seven</w:t>
      </w:r>
      <w:r w:rsidR="005F6B51">
        <w:t xml:space="preserve"> </w:t>
      </w:r>
      <w:r>
        <w:t>eight-hour events from hours</w:t>
      </w:r>
      <w:r w:rsidR="008948AA">
        <w:t xml:space="preserve"> </w:t>
      </w:r>
      <w:r>
        <w:t>ending 13</w:t>
      </w:r>
      <w:r w:rsidR="001530A9">
        <w:t>:00</w:t>
      </w:r>
      <w:r>
        <w:t xml:space="preserve"> t</w:t>
      </w:r>
      <w:r w:rsidR="004C14FF">
        <w:t>hrough</w:t>
      </w:r>
      <w:r>
        <w:t xml:space="preserve"> </w:t>
      </w:r>
      <w:r w:rsidR="004C14FF">
        <w:t>20</w:t>
      </w:r>
      <w:r w:rsidR="001530A9">
        <w:t>:00</w:t>
      </w:r>
      <w:r>
        <w:t xml:space="preserve">. </w:t>
      </w:r>
      <w:r w:rsidR="009F7CB1">
        <w:t xml:space="preserve">SDG&amp;E called </w:t>
      </w:r>
      <w:r w:rsidR="00152B65">
        <w:t>two day-ahead events and four day-of events</w:t>
      </w:r>
      <w:r w:rsidR="009F7CB1">
        <w:t>.</w:t>
      </w:r>
      <w:r w:rsidR="00E23E35">
        <w:t xml:space="preserve"> SDG&amp;E called two DBP-DA events and four DBP-DO events. The event hours varied across events and are shown in the fourth column.</w:t>
      </w:r>
      <w:r w:rsidR="009F7CB1">
        <w:t xml:space="preserve"> </w:t>
      </w:r>
    </w:p>
    <w:p w14:paraId="022BACA1" w14:textId="77777777" w:rsidR="00006EAE" w:rsidRDefault="00006EAE" w:rsidP="00AC2CB7"/>
    <w:p w14:paraId="561DFFDF" w14:textId="77777777" w:rsidR="00E23E35" w:rsidRPr="00852320" w:rsidRDefault="00E23E35" w:rsidP="00E23E35">
      <w:pPr>
        <w:pStyle w:val="TableCaption"/>
        <w:keepNext/>
        <w:keepLines/>
      </w:pPr>
      <w:bookmarkStart w:id="85" w:name="_Toc226190229"/>
      <w:bookmarkStart w:id="86" w:name="_Toc415231861"/>
      <w:bookmarkStart w:id="87" w:name="_Toc415761872"/>
      <w:r w:rsidRPr="00852320">
        <w:lastRenderedPageBreak/>
        <w:t>Table 2.7: DBP Event Days</w:t>
      </w:r>
      <w:bookmarkEnd w:id="85"/>
      <w:bookmarkEnd w:id="86"/>
      <w:bookmarkEnd w:id="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406"/>
        <w:gridCol w:w="628"/>
        <w:gridCol w:w="1172"/>
        <w:gridCol w:w="1239"/>
        <w:gridCol w:w="1104"/>
      </w:tblGrid>
      <w:tr w:rsidR="00E23E35" w14:paraId="2CD1ECF1" w14:textId="77777777" w:rsidTr="004F5C7C">
        <w:trPr>
          <w:jc w:val="center"/>
        </w:trPr>
        <w:tc>
          <w:tcPr>
            <w:tcW w:w="0" w:type="auto"/>
            <w:shd w:val="clear" w:color="auto" w:fill="D9E2F3"/>
            <w:vAlign w:val="center"/>
          </w:tcPr>
          <w:p w14:paraId="57EDF7A9" w14:textId="77777777" w:rsidR="00E23E35" w:rsidRPr="007E0A27" w:rsidRDefault="00E23E35" w:rsidP="004F5C7C">
            <w:pPr>
              <w:keepNext/>
              <w:keepLines/>
              <w:jc w:val="center"/>
              <w:rPr>
                <w:rFonts w:ascii="Arial" w:hAnsi="Arial" w:cs="Arial"/>
                <w:b/>
                <w:bCs/>
                <w:sz w:val="20"/>
                <w:szCs w:val="20"/>
              </w:rPr>
            </w:pPr>
            <w:r w:rsidRPr="007E0A27">
              <w:rPr>
                <w:rFonts w:ascii="Arial" w:hAnsi="Arial" w:cs="Arial"/>
                <w:b/>
                <w:bCs/>
                <w:sz w:val="20"/>
                <w:szCs w:val="20"/>
              </w:rPr>
              <w:t>Date</w:t>
            </w:r>
          </w:p>
        </w:tc>
        <w:tc>
          <w:tcPr>
            <w:tcW w:w="0" w:type="auto"/>
            <w:shd w:val="clear" w:color="auto" w:fill="D9E2F3"/>
            <w:vAlign w:val="center"/>
          </w:tcPr>
          <w:p w14:paraId="5F42EC94" w14:textId="77777777" w:rsidR="00E23E35" w:rsidRPr="007E0A27" w:rsidRDefault="00E23E35" w:rsidP="004F5C7C">
            <w:pPr>
              <w:keepNext/>
              <w:keepLines/>
              <w:jc w:val="center"/>
              <w:rPr>
                <w:rFonts w:ascii="Arial" w:hAnsi="Arial" w:cs="Arial"/>
                <w:b/>
                <w:bCs/>
                <w:sz w:val="20"/>
                <w:szCs w:val="20"/>
              </w:rPr>
            </w:pPr>
            <w:r w:rsidRPr="007E0A27">
              <w:rPr>
                <w:rFonts w:ascii="Arial" w:hAnsi="Arial" w:cs="Arial"/>
                <w:b/>
                <w:bCs/>
                <w:sz w:val="20"/>
                <w:szCs w:val="20"/>
              </w:rPr>
              <w:t>Day of Week</w:t>
            </w:r>
          </w:p>
        </w:tc>
        <w:tc>
          <w:tcPr>
            <w:tcW w:w="0" w:type="auto"/>
            <w:shd w:val="clear" w:color="auto" w:fill="D9E2F3"/>
            <w:vAlign w:val="center"/>
          </w:tcPr>
          <w:p w14:paraId="257ACFF8" w14:textId="77777777" w:rsidR="00E23E35" w:rsidRPr="007E0A27" w:rsidRDefault="00E23E35" w:rsidP="004F5C7C">
            <w:pPr>
              <w:keepNext/>
              <w:keepLines/>
              <w:jc w:val="center"/>
              <w:rPr>
                <w:rFonts w:ascii="Arial" w:hAnsi="Arial" w:cs="Arial"/>
                <w:b/>
                <w:bCs/>
                <w:sz w:val="20"/>
                <w:szCs w:val="20"/>
              </w:rPr>
            </w:pPr>
            <w:r w:rsidRPr="007E0A27">
              <w:rPr>
                <w:rFonts w:ascii="Arial" w:hAnsi="Arial" w:cs="Arial"/>
                <w:b/>
                <w:bCs/>
                <w:sz w:val="20"/>
                <w:szCs w:val="20"/>
              </w:rPr>
              <w:t>SCE</w:t>
            </w:r>
          </w:p>
        </w:tc>
        <w:tc>
          <w:tcPr>
            <w:tcW w:w="0" w:type="auto"/>
            <w:shd w:val="clear" w:color="auto" w:fill="D9E2F3"/>
            <w:vAlign w:val="center"/>
          </w:tcPr>
          <w:p w14:paraId="73892DA4" w14:textId="77777777" w:rsidR="00E23E35" w:rsidRPr="007E0A27" w:rsidRDefault="00E23E35" w:rsidP="004F5C7C">
            <w:pPr>
              <w:keepNext/>
              <w:keepLines/>
              <w:jc w:val="center"/>
              <w:rPr>
                <w:rFonts w:ascii="Arial" w:hAnsi="Arial" w:cs="Arial"/>
                <w:b/>
                <w:bCs/>
                <w:sz w:val="20"/>
                <w:szCs w:val="20"/>
              </w:rPr>
            </w:pPr>
            <w:r w:rsidRPr="007E0A27">
              <w:rPr>
                <w:rFonts w:ascii="Arial" w:hAnsi="Arial" w:cs="Arial"/>
                <w:b/>
                <w:bCs/>
                <w:sz w:val="20"/>
                <w:szCs w:val="20"/>
              </w:rPr>
              <w:t>PG&amp;E</w:t>
            </w:r>
          </w:p>
        </w:tc>
        <w:tc>
          <w:tcPr>
            <w:tcW w:w="0" w:type="auto"/>
            <w:shd w:val="clear" w:color="auto" w:fill="D9E2F3"/>
            <w:vAlign w:val="center"/>
          </w:tcPr>
          <w:p w14:paraId="70A8D088" w14:textId="77777777" w:rsidR="00E23E35" w:rsidRPr="007E0A27" w:rsidRDefault="00E23E35" w:rsidP="004F5C7C">
            <w:pPr>
              <w:keepNext/>
              <w:keepLines/>
              <w:jc w:val="center"/>
              <w:rPr>
                <w:rFonts w:ascii="Arial" w:hAnsi="Arial" w:cs="Arial"/>
                <w:b/>
                <w:bCs/>
                <w:sz w:val="20"/>
                <w:szCs w:val="20"/>
              </w:rPr>
            </w:pPr>
            <w:r>
              <w:rPr>
                <w:rFonts w:ascii="Arial" w:hAnsi="Arial" w:cs="Arial"/>
                <w:b/>
                <w:bCs/>
                <w:sz w:val="20"/>
                <w:szCs w:val="20"/>
              </w:rPr>
              <w:t>SDG&amp;E</w:t>
            </w:r>
          </w:p>
        </w:tc>
        <w:tc>
          <w:tcPr>
            <w:tcW w:w="1104" w:type="dxa"/>
            <w:shd w:val="clear" w:color="auto" w:fill="D9E2F3"/>
            <w:vAlign w:val="center"/>
          </w:tcPr>
          <w:p w14:paraId="1754D73D" w14:textId="77777777" w:rsidR="00E23E35" w:rsidRDefault="00E23E35" w:rsidP="004F5C7C">
            <w:pPr>
              <w:keepNext/>
              <w:keepLines/>
              <w:jc w:val="center"/>
              <w:rPr>
                <w:rFonts w:ascii="Arial" w:hAnsi="Arial" w:cs="Arial"/>
                <w:b/>
                <w:bCs/>
                <w:sz w:val="20"/>
                <w:szCs w:val="20"/>
              </w:rPr>
            </w:pPr>
            <w:r>
              <w:rPr>
                <w:rFonts w:ascii="Arial" w:hAnsi="Arial" w:cs="Arial"/>
                <w:b/>
                <w:bCs/>
                <w:sz w:val="20"/>
                <w:szCs w:val="20"/>
              </w:rPr>
              <w:t>SDG&amp;E Event Hours</w:t>
            </w:r>
          </w:p>
        </w:tc>
      </w:tr>
      <w:tr w:rsidR="00E23E35" w14:paraId="5CF754E4" w14:textId="77777777" w:rsidTr="004F5C7C">
        <w:trPr>
          <w:jc w:val="center"/>
        </w:trPr>
        <w:tc>
          <w:tcPr>
            <w:tcW w:w="0" w:type="auto"/>
          </w:tcPr>
          <w:p w14:paraId="0C7BB2B8"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2/6/2014</w:t>
            </w:r>
          </w:p>
        </w:tc>
        <w:tc>
          <w:tcPr>
            <w:tcW w:w="0" w:type="auto"/>
          </w:tcPr>
          <w:p w14:paraId="0083F62B"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Thursday</w:t>
            </w:r>
          </w:p>
        </w:tc>
        <w:tc>
          <w:tcPr>
            <w:tcW w:w="0" w:type="auto"/>
            <w:vAlign w:val="center"/>
          </w:tcPr>
          <w:p w14:paraId="6187815F"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267B0ABB"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5957787B"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1 (DO only)</w:t>
            </w:r>
          </w:p>
        </w:tc>
        <w:tc>
          <w:tcPr>
            <w:tcW w:w="1104" w:type="dxa"/>
          </w:tcPr>
          <w:p w14:paraId="0BB5EAA4" w14:textId="77777777" w:rsidR="00E23E35" w:rsidRDefault="00E23E35" w:rsidP="004F5C7C">
            <w:pPr>
              <w:keepNext/>
              <w:keepLines/>
              <w:jc w:val="center"/>
              <w:rPr>
                <w:rFonts w:ascii="Arial" w:hAnsi="Arial" w:cs="Arial"/>
                <w:sz w:val="20"/>
                <w:szCs w:val="20"/>
              </w:rPr>
            </w:pPr>
            <w:r>
              <w:rPr>
                <w:rFonts w:ascii="Arial" w:hAnsi="Arial" w:cs="Arial"/>
                <w:sz w:val="20"/>
                <w:szCs w:val="20"/>
              </w:rPr>
              <w:t>HE17-21</w:t>
            </w:r>
          </w:p>
        </w:tc>
      </w:tr>
      <w:tr w:rsidR="00E23E35" w14:paraId="6271377A" w14:textId="77777777" w:rsidTr="004F5C7C">
        <w:trPr>
          <w:jc w:val="center"/>
        </w:trPr>
        <w:tc>
          <w:tcPr>
            <w:tcW w:w="0" w:type="auto"/>
          </w:tcPr>
          <w:p w14:paraId="17809B54"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2/7/2014</w:t>
            </w:r>
          </w:p>
        </w:tc>
        <w:tc>
          <w:tcPr>
            <w:tcW w:w="0" w:type="auto"/>
          </w:tcPr>
          <w:p w14:paraId="3BD39997"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Friday</w:t>
            </w:r>
          </w:p>
        </w:tc>
        <w:tc>
          <w:tcPr>
            <w:tcW w:w="0" w:type="auto"/>
            <w:vAlign w:val="center"/>
          </w:tcPr>
          <w:p w14:paraId="3FB818E9"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14A0816F"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6C922A2E"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2 (DA only)</w:t>
            </w:r>
          </w:p>
        </w:tc>
        <w:tc>
          <w:tcPr>
            <w:tcW w:w="1104" w:type="dxa"/>
          </w:tcPr>
          <w:p w14:paraId="3E692304" w14:textId="77777777" w:rsidR="00E23E35" w:rsidRDefault="00E23E35" w:rsidP="004F5C7C">
            <w:pPr>
              <w:keepNext/>
              <w:keepLines/>
              <w:jc w:val="center"/>
              <w:rPr>
                <w:rFonts w:ascii="Arial" w:hAnsi="Arial" w:cs="Arial"/>
                <w:sz w:val="20"/>
                <w:szCs w:val="20"/>
              </w:rPr>
            </w:pPr>
            <w:r>
              <w:rPr>
                <w:rFonts w:ascii="Arial" w:hAnsi="Arial" w:cs="Arial"/>
                <w:sz w:val="20"/>
                <w:szCs w:val="20"/>
              </w:rPr>
              <w:t>HE14-17</w:t>
            </w:r>
          </w:p>
        </w:tc>
      </w:tr>
      <w:tr w:rsidR="00E23E35" w14:paraId="5AFDA975" w14:textId="77777777" w:rsidTr="004F5C7C">
        <w:trPr>
          <w:jc w:val="center"/>
        </w:trPr>
        <w:tc>
          <w:tcPr>
            <w:tcW w:w="0" w:type="auto"/>
          </w:tcPr>
          <w:p w14:paraId="2C6A3A28"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5/14/2014</w:t>
            </w:r>
          </w:p>
        </w:tc>
        <w:tc>
          <w:tcPr>
            <w:tcW w:w="0" w:type="auto"/>
          </w:tcPr>
          <w:p w14:paraId="0245ED85"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Wednesday</w:t>
            </w:r>
          </w:p>
        </w:tc>
        <w:tc>
          <w:tcPr>
            <w:tcW w:w="0" w:type="auto"/>
            <w:vAlign w:val="center"/>
          </w:tcPr>
          <w:p w14:paraId="4FB5CAC0"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0C3013E1"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1 (partial)</w:t>
            </w:r>
          </w:p>
        </w:tc>
        <w:tc>
          <w:tcPr>
            <w:tcW w:w="0" w:type="auto"/>
            <w:vAlign w:val="center"/>
          </w:tcPr>
          <w:p w14:paraId="2B7746FA"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3 (DO only)</w:t>
            </w:r>
          </w:p>
        </w:tc>
        <w:tc>
          <w:tcPr>
            <w:tcW w:w="1104" w:type="dxa"/>
          </w:tcPr>
          <w:p w14:paraId="19EAAD0E" w14:textId="77777777" w:rsidR="00E23E35" w:rsidRDefault="00E23E35" w:rsidP="004F5C7C">
            <w:pPr>
              <w:keepNext/>
              <w:keepLines/>
              <w:jc w:val="center"/>
              <w:rPr>
                <w:rFonts w:ascii="Arial" w:hAnsi="Arial" w:cs="Arial"/>
                <w:sz w:val="20"/>
                <w:szCs w:val="20"/>
              </w:rPr>
            </w:pPr>
            <w:r>
              <w:rPr>
                <w:rFonts w:ascii="Arial" w:hAnsi="Arial" w:cs="Arial"/>
                <w:sz w:val="20"/>
                <w:szCs w:val="20"/>
              </w:rPr>
              <w:t>HE17-20</w:t>
            </w:r>
          </w:p>
        </w:tc>
      </w:tr>
      <w:tr w:rsidR="00E23E35" w14:paraId="2E055239" w14:textId="77777777" w:rsidTr="004F5C7C">
        <w:trPr>
          <w:jc w:val="center"/>
        </w:trPr>
        <w:tc>
          <w:tcPr>
            <w:tcW w:w="0" w:type="auto"/>
          </w:tcPr>
          <w:p w14:paraId="505AD042"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5/15/2014</w:t>
            </w:r>
          </w:p>
        </w:tc>
        <w:tc>
          <w:tcPr>
            <w:tcW w:w="0" w:type="auto"/>
          </w:tcPr>
          <w:p w14:paraId="46F45D40"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Thursday</w:t>
            </w:r>
          </w:p>
        </w:tc>
        <w:tc>
          <w:tcPr>
            <w:tcW w:w="0" w:type="auto"/>
            <w:vAlign w:val="center"/>
          </w:tcPr>
          <w:p w14:paraId="27AA41F5"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49B12873"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2C699274"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4 (DA only)</w:t>
            </w:r>
          </w:p>
        </w:tc>
        <w:tc>
          <w:tcPr>
            <w:tcW w:w="1104" w:type="dxa"/>
          </w:tcPr>
          <w:p w14:paraId="69243B56" w14:textId="77777777" w:rsidR="00E23E35" w:rsidRDefault="00E23E35" w:rsidP="004F5C7C">
            <w:pPr>
              <w:keepNext/>
              <w:keepLines/>
              <w:jc w:val="center"/>
              <w:rPr>
                <w:rFonts w:ascii="Arial" w:hAnsi="Arial" w:cs="Arial"/>
                <w:sz w:val="20"/>
                <w:szCs w:val="20"/>
              </w:rPr>
            </w:pPr>
            <w:r>
              <w:rPr>
                <w:rFonts w:ascii="Arial" w:hAnsi="Arial" w:cs="Arial"/>
                <w:sz w:val="20"/>
                <w:szCs w:val="20"/>
              </w:rPr>
              <w:t>HE17-20</w:t>
            </w:r>
          </w:p>
        </w:tc>
      </w:tr>
      <w:tr w:rsidR="00E23E35" w14:paraId="5EA4F7DC" w14:textId="77777777" w:rsidTr="004F5C7C">
        <w:trPr>
          <w:jc w:val="center"/>
        </w:trPr>
        <w:tc>
          <w:tcPr>
            <w:tcW w:w="0" w:type="auto"/>
          </w:tcPr>
          <w:p w14:paraId="1D30117A"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5/16/2014</w:t>
            </w:r>
          </w:p>
        </w:tc>
        <w:tc>
          <w:tcPr>
            <w:tcW w:w="0" w:type="auto"/>
          </w:tcPr>
          <w:p w14:paraId="581B34B5"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Friday</w:t>
            </w:r>
          </w:p>
        </w:tc>
        <w:tc>
          <w:tcPr>
            <w:tcW w:w="0" w:type="auto"/>
            <w:vAlign w:val="center"/>
          </w:tcPr>
          <w:p w14:paraId="26C1F738"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7A35F5A8"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031E37D4"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5 (DO only)</w:t>
            </w:r>
          </w:p>
        </w:tc>
        <w:tc>
          <w:tcPr>
            <w:tcW w:w="1104" w:type="dxa"/>
          </w:tcPr>
          <w:p w14:paraId="395074FE" w14:textId="77777777" w:rsidR="00E23E35" w:rsidRDefault="00E23E35" w:rsidP="004F5C7C">
            <w:pPr>
              <w:keepNext/>
              <w:keepLines/>
              <w:jc w:val="center"/>
              <w:rPr>
                <w:rFonts w:ascii="Arial" w:hAnsi="Arial" w:cs="Arial"/>
                <w:sz w:val="20"/>
                <w:szCs w:val="20"/>
              </w:rPr>
            </w:pPr>
            <w:r>
              <w:rPr>
                <w:rFonts w:ascii="Arial" w:hAnsi="Arial" w:cs="Arial"/>
                <w:sz w:val="20"/>
                <w:szCs w:val="20"/>
              </w:rPr>
              <w:t>HE12-19</w:t>
            </w:r>
          </w:p>
        </w:tc>
      </w:tr>
      <w:tr w:rsidR="00E23E35" w14:paraId="4BA8F169" w14:textId="77777777" w:rsidTr="004F5C7C">
        <w:trPr>
          <w:jc w:val="center"/>
        </w:trPr>
        <w:tc>
          <w:tcPr>
            <w:tcW w:w="0" w:type="auto"/>
          </w:tcPr>
          <w:p w14:paraId="79C59D9E"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6/30/2014</w:t>
            </w:r>
          </w:p>
        </w:tc>
        <w:tc>
          <w:tcPr>
            <w:tcW w:w="0" w:type="auto"/>
          </w:tcPr>
          <w:p w14:paraId="2D3CA96A"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0B3C1A75"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1BCFB0E8"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2</w:t>
            </w:r>
          </w:p>
        </w:tc>
        <w:tc>
          <w:tcPr>
            <w:tcW w:w="0" w:type="auto"/>
            <w:vAlign w:val="center"/>
          </w:tcPr>
          <w:p w14:paraId="09C262D1" w14:textId="77777777" w:rsidR="00E23E35" w:rsidRPr="00E32463" w:rsidRDefault="00E23E35" w:rsidP="004F5C7C">
            <w:pPr>
              <w:keepNext/>
              <w:keepLines/>
              <w:jc w:val="center"/>
              <w:rPr>
                <w:rFonts w:ascii="Arial" w:hAnsi="Arial" w:cs="Arial"/>
                <w:sz w:val="20"/>
                <w:szCs w:val="20"/>
              </w:rPr>
            </w:pPr>
          </w:p>
        </w:tc>
        <w:tc>
          <w:tcPr>
            <w:tcW w:w="1104" w:type="dxa"/>
          </w:tcPr>
          <w:p w14:paraId="015597B0" w14:textId="77777777" w:rsidR="00E23E35" w:rsidRPr="00E32463" w:rsidRDefault="00E23E35" w:rsidP="004F5C7C">
            <w:pPr>
              <w:keepNext/>
              <w:keepLines/>
              <w:jc w:val="center"/>
              <w:rPr>
                <w:rFonts w:ascii="Arial" w:hAnsi="Arial" w:cs="Arial"/>
                <w:sz w:val="20"/>
                <w:szCs w:val="20"/>
              </w:rPr>
            </w:pPr>
          </w:p>
        </w:tc>
      </w:tr>
      <w:tr w:rsidR="00E23E35" w14:paraId="5EEF73B6" w14:textId="77777777" w:rsidTr="004F5C7C">
        <w:trPr>
          <w:jc w:val="center"/>
        </w:trPr>
        <w:tc>
          <w:tcPr>
            <w:tcW w:w="0" w:type="auto"/>
          </w:tcPr>
          <w:p w14:paraId="2B422502"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7/7/2014</w:t>
            </w:r>
          </w:p>
        </w:tc>
        <w:tc>
          <w:tcPr>
            <w:tcW w:w="0" w:type="auto"/>
          </w:tcPr>
          <w:p w14:paraId="23929731"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49BF07FE"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40A28945"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3</w:t>
            </w:r>
          </w:p>
        </w:tc>
        <w:tc>
          <w:tcPr>
            <w:tcW w:w="0" w:type="auto"/>
            <w:vAlign w:val="center"/>
          </w:tcPr>
          <w:p w14:paraId="3678E86B" w14:textId="77777777" w:rsidR="00E23E35" w:rsidRPr="00E32463" w:rsidRDefault="00E23E35" w:rsidP="004F5C7C">
            <w:pPr>
              <w:keepNext/>
              <w:keepLines/>
              <w:jc w:val="center"/>
              <w:rPr>
                <w:rFonts w:ascii="Arial" w:hAnsi="Arial" w:cs="Arial"/>
                <w:sz w:val="20"/>
                <w:szCs w:val="20"/>
              </w:rPr>
            </w:pPr>
          </w:p>
        </w:tc>
        <w:tc>
          <w:tcPr>
            <w:tcW w:w="1104" w:type="dxa"/>
          </w:tcPr>
          <w:p w14:paraId="57792E3B" w14:textId="77777777" w:rsidR="00E23E35" w:rsidRPr="00E32463" w:rsidRDefault="00E23E35" w:rsidP="004F5C7C">
            <w:pPr>
              <w:keepNext/>
              <w:keepLines/>
              <w:jc w:val="center"/>
              <w:rPr>
                <w:rFonts w:ascii="Arial" w:hAnsi="Arial" w:cs="Arial"/>
                <w:sz w:val="20"/>
                <w:szCs w:val="20"/>
              </w:rPr>
            </w:pPr>
          </w:p>
        </w:tc>
      </w:tr>
      <w:tr w:rsidR="00E23E35" w14:paraId="099C6176" w14:textId="77777777" w:rsidTr="004F5C7C">
        <w:trPr>
          <w:jc w:val="center"/>
        </w:trPr>
        <w:tc>
          <w:tcPr>
            <w:tcW w:w="0" w:type="auto"/>
          </w:tcPr>
          <w:p w14:paraId="2336E4A3"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7/14/2014</w:t>
            </w:r>
          </w:p>
        </w:tc>
        <w:tc>
          <w:tcPr>
            <w:tcW w:w="0" w:type="auto"/>
          </w:tcPr>
          <w:p w14:paraId="0BEDFAB0"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43B6F1A0"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1</w:t>
            </w:r>
          </w:p>
        </w:tc>
        <w:tc>
          <w:tcPr>
            <w:tcW w:w="0" w:type="auto"/>
            <w:vAlign w:val="center"/>
          </w:tcPr>
          <w:p w14:paraId="5C607019"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4 (partial)</w:t>
            </w:r>
          </w:p>
        </w:tc>
        <w:tc>
          <w:tcPr>
            <w:tcW w:w="0" w:type="auto"/>
            <w:vAlign w:val="center"/>
          </w:tcPr>
          <w:p w14:paraId="7AB95B46" w14:textId="77777777" w:rsidR="00E23E35" w:rsidRPr="00E32463" w:rsidRDefault="00E23E35" w:rsidP="004F5C7C">
            <w:pPr>
              <w:keepNext/>
              <w:keepLines/>
              <w:jc w:val="center"/>
              <w:rPr>
                <w:rFonts w:ascii="Arial" w:hAnsi="Arial" w:cs="Arial"/>
                <w:sz w:val="20"/>
                <w:szCs w:val="20"/>
              </w:rPr>
            </w:pPr>
          </w:p>
        </w:tc>
        <w:tc>
          <w:tcPr>
            <w:tcW w:w="1104" w:type="dxa"/>
          </w:tcPr>
          <w:p w14:paraId="33EF97B9" w14:textId="77777777" w:rsidR="00E23E35" w:rsidRPr="00E32463" w:rsidRDefault="00E23E35" w:rsidP="004F5C7C">
            <w:pPr>
              <w:keepNext/>
              <w:keepLines/>
              <w:jc w:val="center"/>
              <w:rPr>
                <w:rFonts w:ascii="Arial" w:hAnsi="Arial" w:cs="Arial"/>
                <w:sz w:val="20"/>
                <w:szCs w:val="20"/>
              </w:rPr>
            </w:pPr>
          </w:p>
        </w:tc>
      </w:tr>
      <w:tr w:rsidR="00E23E35" w14:paraId="19772D21" w14:textId="77777777" w:rsidTr="004F5C7C">
        <w:trPr>
          <w:jc w:val="center"/>
        </w:trPr>
        <w:tc>
          <w:tcPr>
            <w:tcW w:w="0" w:type="auto"/>
          </w:tcPr>
          <w:p w14:paraId="4F53A9C2"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7/28/2014</w:t>
            </w:r>
          </w:p>
        </w:tc>
        <w:tc>
          <w:tcPr>
            <w:tcW w:w="0" w:type="auto"/>
          </w:tcPr>
          <w:p w14:paraId="57A452AA"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56041FC5"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7743A480"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5</w:t>
            </w:r>
          </w:p>
        </w:tc>
        <w:tc>
          <w:tcPr>
            <w:tcW w:w="0" w:type="auto"/>
            <w:vAlign w:val="center"/>
          </w:tcPr>
          <w:p w14:paraId="790ABDD4" w14:textId="77777777" w:rsidR="00E23E35" w:rsidRPr="00E32463" w:rsidRDefault="00E23E35" w:rsidP="004F5C7C">
            <w:pPr>
              <w:keepNext/>
              <w:keepLines/>
              <w:jc w:val="center"/>
              <w:rPr>
                <w:rFonts w:ascii="Arial" w:hAnsi="Arial" w:cs="Arial"/>
                <w:sz w:val="20"/>
                <w:szCs w:val="20"/>
              </w:rPr>
            </w:pPr>
          </w:p>
        </w:tc>
        <w:tc>
          <w:tcPr>
            <w:tcW w:w="1104" w:type="dxa"/>
          </w:tcPr>
          <w:p w14:paraId="2C216D9F" w14:textId="77777777" w:rsidR="00E23E35" w:rsidRPr="00E32463" w:rsidRDefault="00E23E35" w:rsidP="004F5C7C">
            <w:pPr>
              <w:keepNext/>
              <w:keepLines/>
              <w:jc w:val="center"/>
              <w:rPr>
                <w:rFonts w:ascii="Arial" w:hAnsi="Arial" w:cs="Arial"/>
                <w:sz w:val="20"/>
                <w:szCs w:val="20"/>
              </w:rPr>
            </w:pPr>
          </w:p>
        </w:tc>
      </w:tr>
      <w:tr w:rsidR="00E23E35" w14:paraId="05B0D443" w14:textId="77777777" w:rsidTr="004F5C7C">
        <w:trPr>
          <w:jc w:val="center"/>
        </w:trPr>
        <w:tc>
          <w:tcPr>
            <w:tcW w:w="0" w:type="auto"/>
          </w:tcPr>
          <w:p w14:paraId="0C0AFF97"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7/29/2014</w:t>
            </w:r>
          </w:p>
        </w:tc>
        <w:tc>
          <w:tcPr>
            <w:tcW w:w="0" w:type="auto"/>
          </w:tcPr>
          <w:p w14:paraId="1CFC0AF7"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Tuesday</w:t>
            </w:r>
          </w:p>
        </w:tc>
        <w:tc>
          <w:tcPr>
            <w:tcW w:w="0" w:type="auto"/>
            <w:vAlign w:val="center"/>
          </w:tcPr>
          <w:p w14:paraId="0C3D67AC"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2ABEDEF8"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6</w:t>
            </w:r>
          </w:p>
        </w:tc>
        <w:tc>
          <w:tcPr>
            <w:tcW w:w="0" w:type="auto"/>
            <w:vAlign w:val="center"/>
          </w:tcPr>
          <w:p w14:paraId="777C8D62" w14:textId="77777777" w:rsidR="00E23E35" w:rsidRPr="00E32463" w:rsidRDefault="00E23E35" w:rsidP="004F5C7C">
            <w:pPr>
              <w:keepNext/>
              <w:keepLines/>
              <w:jc w:val="center"/>
              <w:rPr>
                <w:rFonts w:ascii="Arial" w:hAnsi="Arial" w:cs="Arial"/>
                <w:sz w:val="20"/>
                <w:szCs w:val="20"/>
              </w:rPr>
            </w:pPr>
          </w:p>
        </w:tc>
        <w:tc>
          <w:tcPr>
            <w:tcW w:w="1104" w:type="dxa"/>
          </w:tcPr>
          <w:p w14:paraId="0048D8C6" w14:textId="77777777" w:rsidR="00E23E35" w:rsidRPr="00E32463" w:rsidRDefault="00E23E35" w:rsidP="004F5C7C">
            <w:pPr>
              <w:keepNext/>
              <w:keepLines/>
              <w:jc w:val="center"/>
              <w:rPr>
                <w:rFonts w:ascii="Arial" w:hAnsi="Arial" w:cs="Arial"/>
                <w:sz w:val="20"/>
                <w:szCs w:val="20"/>
              </w:rPr>
            </w:pPr>
          </w:p>
        </w:tc>
      </w:tr>
      <w:tr w:rsidR="00E23E35" w14:paraId="115DF1E3" w14:textId="77777777" w:rsidTr="004F5C7C">
        <w:trPr>
          <w:jc w:val="center"/>
        </w:trPr>
        <w:tc>
          <w:tcPr>
            <w:tcW w:w="0" w:type="auto"/>
          </w:tcPr>
          <w:p w14:paraId="6BCBC7E2"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7/30/2014</w:t>
            </w:r>
          </w:p>
        </w:tc>
        <w:tc>
          <w:tcPr>
            <w:tcW w:w="0" w:type="auto"/>
          </w:tcPr>
          <w:p w14:paraId="03C02480"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Wednesday</w:t>
            </w:r>
          </w:p>
        </w:tc>
        <w:tc>
          <w:tcPr>
            <w:tcW w:w="0" w:type="auto"/>
            <w:vAlign w:val="center"/>
          </w:tcPr>
          <w:p w14:paraId="7D44E557"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571F2634"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7</w:t>
            </w:r>
          </w:p>
        </w:tc>
        <w:tc>
          <w:tcPr>
            <w:tcW w:w="0" w:type="auto"/>
            <w:vAlign w:val="center"/>
          </w:tcPr>
          <w:p w14:paraId="61096C6F" w14:textId="77777777" w:rsidR="00E23E35" w:rsidRPr="00E32463" w:rsidRDefault="00E23E35" w:rsidP="004F5C7C">
            <w:pPr>
              <w:keepNext/>
              <w:keepLines/>
              <w:jc w:val="center"/>
              <w:rPr>
                <w:rFonts w:ascii="Arial" w:hAnsi="Arial" w:cs="Arial"/>
                <w:sz w:val="20"/>
                <w:szCs w:val="20"/>
              </w:rPr>
            </w:pPr>
          </w:p>
        </w:tc>
        <w:tc>
          <w:tcPr>
            <w:tcW w:w="1104" w:type="dxa"/>
          </w:tcPr>
          <w:p w14:paraId="4191CC78" w14:textId="77777777" w:rsidR="00E23E35" w:rsidRPr="00E32463" w:rsidRDefault="00E23E35" w:rsidP="004F5C7C">
            <w:pPr>
              <w:keepNext/>
              <w:keepLines/>
              <w:jc w:val="center"/>
              <w:rPr>
                <w:rFonts w:ascii="Arial" w:hAnsi="Arial" w:cs="Arial"/>
                <w:sz w:val="20"/>
                <w:szCs w:val="20"/>
              </w:rPr>
            </w:pPr>
          </w:p>
        </w:tc>
      </w:tr>
      <w:tr w:rsidR="00E23E35" w14:paraId="05044A0E" w14:textId="77777777" w:rsidTr="004F5C7C">
        <w:trPr>
          <w:jc w:val="center"/>
        </w:trPr>
        <w:tc>
          <w:tcPr>
            <w:tcW w:w="0" w:type="auto"/>
          </w:tcPr>
          <w:p w14:paraId="5C154038"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7/31/2014</w:t>
            </w:r>
          </w:p>
        </w:tc>
        <w:tc>
          <w:tcPr>
            <w:tcW w:w="0" w:type="auto"/>
          </w:tcPr>
          <w:p w14:paraId="364D8B5F"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Thursday</w:t>
            </w:r>
          </w:p>
        </w:tc>
        <w:tc>
          <w:tcPr>
            <w:tcW w:w="0" w:type="auto"/>
            <w:vAlign w:val="center"/>
          </w:tcPr>
          <w:p w14:paraId="57E88BFC"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0F4F1F89"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8</w:t>
            </w:r>
          </w:p>
        </w:tc>
        <w:tc>
          <w:tcPr>
            <w:tcW w:w="0" w:type="auto"/>
            <w:vAlign w:val="center"/>
          </w:tcPr>
          <w:p w14:paraId="69798E34" w14:textId="77777777" w:rsidR="00E23E35" w:rsidRPr="00E32463" w:rsidRDefault="00E23E35" w:rsidP="004F5C7C">
            <w:pPr>
              <w:keepNext/>
              <w:keepLines/>
              <w:jc w:val="center"/>
              <w:rPr>
                <w:rFonts w:ascii="Arial" w:hAnsi="Arial" w:cs="Arial"/>
                <w:sz w:val="20"/>
                <w:szCs w:val="20"/>
              </w:rPr>
            </w:pPr>
          </w:p>
        </w:tc>
        <w:tc>
          <w:tcPr>
            <w:tcW w:w="1104" w:type="dxa"/>
          </w:tcPr>
          <w:p w14:paraId="77514D02" w14:textId="77777777" w:rsidR="00E23E35" w:rsidRPr="00E32463" w:rsidRDefault="00E23E35" w:rsidP="004F5C7C">
            <w:pPr>
              <w:keepNext/>
              <w:keepLines/>
              <w:jc w:val="center"/>
              <w:rPr>
                <w:rFonts w:ascii="Arial" w:hAnsi="Arial" w:cs="Arial"/>
                <w:sz w:val="20"/>
                <w:szCs w:val="20"/>
              </w:rPr>
            </w:pPr>
          </w:p>
        </w:tc>
      </w:tr>
      <w:tr w:rsidR="00E23E35" w14:paraId="43B25336" w14:textId="77777777" w:rsidTr="004F5C7C">
        <w:trPr>
          <w:jc w:val="center"/>
        </w:trPr>
        <w:tc>
          <w:tcPr>
            <w:tcW w:w="0" w:type="auto"/>
          </w:tcPr>
          <w:p w14:paraId="1099A62C"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8/1/2014</w:t>
            </w:r>
          </w:p>
        </w:tc>
        <w:tc>
          <w:tcPr>
            <w:tcW w:w="0" w:type="auto"/>
          </w:tcPr>
          <w:p w14:paraId="7188AA77"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Friday</w:t>
            </w:r>
          </w:p>
        </w:tc>
        <w:tc>
          <w:tcPr>
            <w:tcW w:w="0" w:type="auto"/>
            <w:vAlign w:val="center"/>
          </w:tcPr>
          <w:p w14:paraId="2300982F"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68DB0DC7"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9</w:t>
            </w:r>
          </w:p>
        </w:tc>
        <w:tc>
          <w:tcPr>
            <w:tcW w:w="0" w:type="auto"/>
            <w:vAlign w:val="center"/>
          </w:tcPr>
          <w:p w14:paraId="36AC68CE" w14:textId="77777777" w:rsidR="00E23E35" w:rsidRPr="00E32463" w:rsidRDefault="00E23E35" w:rsidP="004F5C7C">
            <w:pPr>
              <w:keepNext/>
              <w:keepLines/>
              <w:jc w:val="center"/>
              <w:rPr>
                <w:rFonts w:ascii="Arial" w:hAnsi="Arial" w:cs="Arial"/>
                <w:sz w:val="20"/>
                <w:szCs w:val="20"/>
              </w:rPr>
            </w:pPr>
          </w:p>
        </w:tc>
        <w:tc>
          <w:tcPr>
            <w:tcW w:w="1104" w:type="dxa"/>
          </w:tcPr>
          <w:p w14:paraId="0F3D74B1" w14:textId="77777777" w:rsidR="00E23E35" w:rsidRPr="00E32463" w:rsidRDefault="00E23E35" w:rsidP="004F5C7C">
            <w:pPr>
              <w:keepNext/>
              <w:keepLines/>
              <w:jc w:val="center"/>
              <w:rPr>
                <w:rFonts w:ascii="Arial" w:hAnsi="Arial" w:cs="Arial"/>
                <w:sz w:val="20"/>
                <w:szCs w:val="20"/>
              </w:rPr>
            </w:pPr>
          </w:p>
        </w:tc>
      </w:tr>
      <w:tr w:rsidR="00E23E35" w14:paraId="5D600992" w14:textId="77777777" w:rsidTr="004F5C7C">
        <w:trPr>
          <w:jc w:val="center"/>
        </w:trPr>
        <w:tc>
          <w:tcPr>
            <w:tcW w:w="0" w:type="auto"/>
          </w:tcPr>
          <w:p w14:paraId="2B2F1F34"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9/8/2014</w:t>
            </w:r>
          </w:p>
        </w:tc>
        <w:tc>
          <w:tcPr>
            <w:tcW w:w="0" w:type="auto"/>
          </w:tcPr>
          <w:p w14:paraId="49CCC689"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4FE95BE5"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2</w:t>
            </w:r>
          </w:p>
        </w:tc>
        <w:tc>
          <w:tcPr>
            <w:tcW w:w="0" w:type="auto"/>
            <w:vAlign w:val="center"/>
          </w:tcPr>
          <w:p w14:paraId="46775022"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6A4A106D" w14:textId="77777777" w:rsidR="00E23E35" w:rsidRPr="00E32463" w:rsidRDefault="00E23E35" w:rsidP="004F5C7C">
            <w:pPr>
              <w:keepNext/>
              <w:keepLines/>
              <w:jc w:val="center"/>
              <w:rPr>
                <w:rFonts w:ascii="Arial" w:hAnsi="Arial" w:cs="Arial"/>
                <w:sz w:val="20"/>
                <w:szCs w:val="20"/>
              </w:rPr>
            </w:pPr>
          </w:p>
        </w:tc>
        <w:tc>
          <w:tcPr>
            <w:tcW w:w="1104" w:type="dxa"/>
          </w:tcPr>
          <w:p w14:paraId="36650AE7" w14:textId="77777777" w:rsidR="00E23E35" w:rsidRPr="00E32463" w:rsidRDefault="00E23E35" w:rsidP="004F5C7C">
            <w:pPr>
              <w:keepNext/>
              <w:keepLines/>
              <w:jc w:val="center"/>
              <w:rPr>
                <w:rFonts w:ascii="Arial" w:hAnsi="Arial" w:cs="Arial"/>
                <w:sz w:val="20"/>
                <w:szCs w:val="20"/>
              </w:rPr>
            </w:pPr>
          </w:p>
        </w:tc>
      </w:tr>
      <w:tr w:rsidR="00E23E35" w14:paraId="488B40EE" w14:textId="77777777" w:rsidTr="004F5C7C">
        <w:trPr>
          <w:jc w:val="center"/>
        </w:trPr>
        <w:tc>
          <w:tcPr>
            <w:tcW w:w="0" w:type="auto"/>
          </w:tcPr>
          <w:p w14:paraId="485C1515"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9/10/2014</w:t>
            </w:r>
          </w:p>
        </w:tc>
        <w:tc>
          <w:tcPr>
            <w:tcW w:w="0" w:type="auto"/>
          </w:tcPr>
          <w:p w14:paraId="0FA1A7D0"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Wednesday</w:t>
            </w:r>
          </w:p>
        </w:tc>
        <w:tc>
          <w:tcPr>
            <w:tcW w:w="0" w:type="auto"/>
            <w:vAlign w:val="center"/>
          </w:tcPr>
          <w:p w14:paraId="47AFA097"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3</w:t>
            </w:r>
          </w:p>
        </w:tc>
        <w:tc>
          <w:tcPr>
            <w:tcW w:w="0" w:type="auto"/>
            <w:vAlign w:val="center"/>
          </w:tcPr>
          <w:p w14:paraId="37B0AC61"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0FD1D1D1" w14:textId="77777777" w:rsidR="00E23E35" w:rsidRPr="00E32463" w:rsidRDefault="00E23E35" w:rsidP="004F5C7C">
            <w:pPr>
              <w:keepNext/>
              <w:keepLines/>
              <w:jc w:val="center"/>
              <w:rPr>
                <w:rFonts w:ascii="Arial" w:hAnsi="Arial" w:cs="Arial"/>
                <w:sz w:val="20"/>
                <w:szCs w:val="20"/>
              </w:rPr>
            </w:pPr>
          </w:p>
        </w:tc>
        <w:tc>
          <w:tcPr>
            <w:tcW w:w="1104" w:type="dxa"/>
          </w:tcPr>
          <w:p w14:paraId="7F6B0AD3" w14:textId="77777777" w:rsidR="00E23E35" w:rsidRPr="00E32463" w:rsidRDefault="00E23E35" w:rsidP="004F5C7C">
            <w:pPr>
              <w:keepNext/>
              <w:keepLines/>
              <w:jc w:val="center"/>
              <w:rPr>
                <w:rFonts w:ascii="Arial" w:hAnsi="Arial" w:cs="Arial"/>
                <w:sz w:val="20"/>
                <w:szCs w:val="20"/>
              </w:rPr>
            </w:pPr>
          </w:p>
        </w:tc>
      </w:tr>
      <w:tr w:rsidR="00E23E35" w14:paraId="11F2A12B" w14:textId="77777777" w:rsidTr="004F5C7C">
        <w:trPr>
          <w:jc w:val="center"/>
        </w:trPr>
        <w:tc>
          <w:tcPr>
            <w:tcW w:w="0" w:type="auto"/>
          </w:tcPr>
          <w:p w14:paraId="2146C31A"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9/12/2014</w:t>
            </w:r>
          </w:p>
        </w:tc>
        <w:tc>
          <w:tcPr>
            <w:tcW w:w="0" w:type="auto"/>
          </w:tcPr>
          <w:p w14:paraId="32B791B7"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Friday</w:t>
            </w:r>
          </w:p>
        </w:tc>
        <w:tc>
          <w:tcPr>
            <w:tcW w:w="0" w:type="auto"/>
            <w:vAlign w:val="center"/>
          </w:tcPr>
          <w:p w14:paraId="475DE815"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789D35DB"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10 (partial)</w:t>
            </w:r>
          </w:p>
        </w:tc>
        <w:tc>
          <w:tcPr>
            <w:tcW w:w="0" w:type="auto"/>
            <w:vAlign w:val="center"/>
          </w:tcPr>
          <w:p w14:paraId="422816A8" w14:textId="77777777" w:rsidR="00E23E35" w:rsidRPr="00E32463" w:rsidRDefault="00E23E35" w:rsidP="004F5C7C">
            <w:pPr>
              <w:keepNext/>
              <w:keepLines/>
              <w:jc w:val="center"/>
              <w:rPr>
                <w:rFonts w:ascii="Arial" w:hAnsi="Arial" w:cs="Arial"/>
                <w:sz w:val="20"/>
                <w:szCs w:val="20"/>
              </w:rPr>
            </w:pPr>
          </w:p>
        </w:tc>
        <w:tc>
          <w:tcPr>
            <w:tcW w:w="1104" w:type="dxa"/>
          </w:tcPr>
          <w:p w14:paraId="16FA0DDD" w14:textId="77777777" w:rsidR="00E23E35" w:rsidRPr="00E32463" w:rsidRDefault="00E23E35" w:rsidP="004F5C7C">
            <w:pPr>
              <w:keepNext/>
              <w:keepLines/>
              <w:jc w:val="center"/>
              <w:rPr>
                <w:rFonts w:ascii="Arial" w:hAnsi="Arial" w:cs="Arial"/>
                <w:sz w:val="20"/>
                <w:szCs w:val="20"/>
              </w:rPr>
            </w:pPr>
          </w:p>
        </w:tc>
      </w:tr>
      <w:tr w:rsidR="00E23E35" w14:paraId="7376B468" w14:textId="77777777" w:rsidTr="004F5C7C">
        <w:trPr>
          <w:jc w:val="center"/>
        </w:trPr>
        <w:tc>
          <w:tcPr>
            <w:tcW w:w="0" w:type="auto"/>
          </w:tcPr>
          <w:p w14:paraId="241DA5D8"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9/15/2014</w:t>
            </w:r>
          </w:p>
        </w:tc>
        <w:tc>
          <w:tcPr>
            <w:tcW w:w="0" w:type="auto"/>
          </w:tcPr>
          <w:p w14:paraId="2070244A"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092CF60A"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4</w:t>
            </w:r>
          </w:p>
        </w:tc>
        <w:tc>
          <w:tcPr>
            <w:tcW w:w="0" w:type="auto"/>
            <w:vAlign w:val="center"/>
          </w:tcPr>
          <w:p w14:paraId="1CE7983B"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11</w:t>
            </w:r>
          </w:p>
        </w:tc>
        <w:tc>
          <w:tcPr>
            <w:tcW w:w="0" w:type="auto"/>
            <w:vAlign w:val="center"/>
          </w:tcPr>
          <w:p w14:paraId="7BC7C48E" w14:textId="77777777" w:rsidR="00E23E35" w:rsidRPr="00E32463" w:rsidRDefault="00E23E35" w:rsidP="004F5C7C">
            <w:pPr>
              <w:keepNext/>
              <w:keepLines/>
              <w:jc w:val="center"/>
              <w:rPr>
                <w:rFonts w:ascii="Arial" w:hAnsi="Arial" w:cs="Arial"/>
                <w:sz w:val="20"/>
                <w:szCs w:val="20"/>
              </w:rPr>
            </w:pPr>
          </w:p>
        </w:tc>
        <w:tc>
          <w:tcPr>
            <w:tcW w:w="1104" w:type="dxa"/>
          </w:tcPr>
          <w:p w14:paraId="39CC7379" w14:textId="77777777" w:rsidR="00E23E35" w:rsidRPr="00E32463" w:rsidRDefault="00E23E35" w:rsidP="004F5C7C">
            <w:pPr>
              <w:keepNext/>
              <w:keepLines/>
              <w:jc w:val="center"/>
              <w:rPr>
                <w:rFonts w:ascii="Arial" w:hAnsi="Arial" w:cs="Arial"/>
                <w:sz w:val="20"/>
                <w:szCs w:val="20"/>
              </w:rPr>
            </w:pPr>
          </w:p>
        </w:tc>
      </w:tr>
      <w:tr w:rsidR="00E23E35" w14:paraId="4FD5F0B7" w14:textId="77777777" w:rsidTr="004F5C7C">
        <w:trPr>
          <w:jc w:val="center"/>
        </w:trPr>
        <w:tc>
          <w:tcPr>
            <w:tcW w:w="0" w:type="auto"/>
          </w:tcPr>
          <w:p w14:paraId="2BF3F69D"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9/16/2014</w:t>
            </w:r>
          </w:p>
        </w:tc>
        <w:tc>
          <w:tcPr>
            <w:tcW w:w="0" w:type="auto"/>
          </w:tcPr>
          <w:p w14:paraId="4948B030"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Tuesday</w:t>
            </w:r>
          </w:p>
        </w:tc>
        <w:tc>
          <w:tcPr>
            <w:tcW w:w="0" w:type="auto"/>
            <w:vAlign w:val="center"/>
          </w:tcPr>
          <w:p w14:paraId="049C0266"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7014B82D"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12</w:t>
            </w:r>
          </w:p>
        </w:tc>
        <w:tc>
          <w:tcPr>
            <w:tcW w:w="0" w:type="auto"/>
            <w:vAlign w:val="center"/>
          </w:tcPr>
          <w:p w14:paraId="65EA8E3B"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6 (DO only)</w:t>
            </w:r>
          </w:p>
        </w:tc>
        <w:tc>
          <w:tcPr>
            <w:tcW w:w="1104" w:type="dxa"/>
          </w:tcPr>
          <w:p w14:paraId="725F5F3F" w14:textId="77777777" w:rsidR="00E23E35" w:rsidRDefault="00E23E35" w:rsidP="004F5C7C">
            <w:pPr>
              <w:keepNext/>
              <w:keepLines/>
              <w:jc w:val="center"/>
              <w:rPr>
                <w:rFonts w:ascii="Arial" w:hAnsi="Arial" w:cs="Arial"/>
                <w:sz w:val="20"/>
                <w:szCs w:val="20"/>
              </w:rPr>
            </w:pPr>
            <w:r>
              <w:rPr>
                <w:rFonts w:ascii="Arial" w:hAnsi="Arial" w:cs="Arial"/>
                <w:sz w:val="20"/>
                <w:szCs w:val="20"/>
              </w:rPr>
              <w:t>HE16-19</w:t>
            </w:r>
          </w:p>
        </w:tc>
      </w:tr>
      <w:tr w:rsidR="00E23E35" w14:paraId="6BBB4701" w14:textId="77777777" w:rsidTr="004F5C7C">
        <w:trPr>
          <w:jc w:val="center"/>
        </w:trPr>
        <w:tc>
          <w:tcPr>
            <w:tcW w:w="0" w:type="auto"/>
          </w:tcPr>
          <w:p w14:paraId="5D808DFF"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9/17/2014</w:t>
            </w:r>
          </w:p>
        </w:tc>
        <w:tc>
          <w:tcPr>
            <w:tcW w:w="0" w:type="auto"/>
          </w:tcPr>
          <w:p w14:paraId="27D45099"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Wednesday</w:t>
            </w:r>
          </w:p>
        </w:tc>
        <w:tc>
          <w:tcPr>
            <w:tcW w:w="0" w:type="auto"/>
            <w:vAlign w:val="center"/>
          </w:tcPr>
          <w:p w14:paraId="1724B2B6"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5</w:t>
            </w:r>
          </w:p>
        </w:tc>
        <w:tc>
          <w:tcPr>
            <w:tcW w:w="0" w:type="auto"/>
            <w:vAlign w:val="center"/>
          </w:tcPr>
          <w:p w14:paraId="75E89B46"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7799BE3E" w14:textId="77777777" w:rsidR="00E23E35" w:rsidRPr="00E32463" w:rsidRDefault="00E23E35" w:rsidP="004F5C7C">
            <w:pPr>
              <w:keepNext/>
              <w:keepLines/>
              <w:jc w:val="center"/>
              <w:rPr>
                <w:rFonts w:ascii="Arial" w:hAnsi="Arial" w:cs="Arial"/>
                <w:sz w:val="20"/>
                <w:szCs w:val="20"/>
              </w:rPr>
            </w:pPr>
          </w:p>
        </w:tc>
        <w:tc>
          <w:tcPr>
            <w:tcW w:w="1104" w:type="dxa"/>
          </w:tcPr>
          <w:p w14:paraId="60244D6D" w14:textId="77777777" w:rsidR="00E23E35" w:rsidRPr="00E32463" w:rsidRDefault="00E23E35" w:rsidP="004F5C7C">
            <w:pPr>
              <w:keepNext/>
              <w:keepLines/>
              <w:jc w:val="center"/>
              <w:rPr>
                <w:rFonts w:ascii="Arial" w:hAnsi="Arial" w:cs="Arial"/>
                <w:sz w:val="20"/>
                <w:szCs w:val="20"/>
              </w:rPr>
            </w:pPr>
          </w:p>
        </w:tc>
      </w:tr>
      <w:tr w:rsidR="00E23E35" w14:paraId="39D396EC" w14:textId="77777777" w:rsidTr="004F5C7C">
        <w:trPr>
          <w:jc w:val="center"/>
        </w:trPr>
        <w:tc>
          <w:tcPr>
            <w:tcW w:w="0" w:type="auto"/>
          </w:tcPr>
          <w:p w14:paraId="0A9FED99"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10/2/2014</w:t>
            </w:r>
          </w:p>
        </w:tc>
        <w:tc>
          <w:tcPr>
            <w:tcW w:w="0" w:type="auto"/>
          </w:tcPr>
          <w:p w14:paraId="346AC05A"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Thursday</w:t>
            </w:r>
          </w:p>
        </w:tc>
        <w:tc>
          <w:tcPr>
            <w:tcW w:w="0" w:type="auto"/>
            <w:vAlign w:val="center"/>
          </w:tcPr>
          <w:p w14:paraId="7E621841"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6</w:t>
            </w:r>
          </w:p>
        </w:tc>
        <w:tc>
          <w:tcPr>
            <w:tcW w:w="0" w:type="auto"/>
            <w:vAlign w:val="center"/>
          </w:tcPr>
          <w:p w14:paraId="14497478"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6105E700" w14:textId="77777777" w:rsidR="00E23E35" w:rsidRPr="00E32463" w:rsidRDefault="00E23E35" w:rsidP="004F5C7C">
            <w:pPr>
              <w:keepNext/>
              <w:keepLines/>
              <w:jc w:val="center"/>
              <w:rPr>
                <w:rFonts w:ascii="Arial" w:hAnsi="Arial" w:cs="Arial"/>
                <w:sz w:val="20"/>
                <w:szCs w:val="20"/>
              </w:rPr>
            </w:pPr>
          </w:p>
        </w:tc>
        <w:tc>
          <w:tcPr>
            <w:tcW w:w="1104" w:type="dxa"/>
          </w:tcPr>
          <w:p w14:paraId="3A7BC8D0" w14:textId="77777777" w:rsidR="00E23E35" w:rsidRPr="00E32463" w:rsidRDefault="00E23E35" w:rsidP="004F5C7C">
            <w:pPr>
              <w:keepNext/>
              <w:keepLines/>
              <w:jc w:val="center"/>
              <w:rPr>
                <w:rFonts w:ascii="Arial" w:hAnsi="Arial" w:cs="Arial"/>
                <w:sz w:val="20"/>
                <w:szCs w:val="20"/>
              </w:rPr>
            </w:pPr>
          </w:p>
        </w:tc>
      </w:tr>
      <w:tr w:rsidR="00E23E35" w14:paraId="26F18AED" w14:textId="77777777" w:rsidTr="004F5C7C">
        <w:trPr>
          <w:jc w:val="center"/>
        </w:trPr>
        <w:tc>
          <w:tcPr>
            <w:tcW w:w="0" w:type="auto"/>
          </w:tcPr>
          <w:p w14:paraId="0551C0E4" w14:textId="77777777" w:rsidR="00E23E35" w:rsidRPr="007E7D6A" w:rsidRDefault="00E23E35" w:rsidP="004F5C7C">
            <w:pPr>
              <w:keepNext/>
              <w:keepLines/>
              <w:rPr>
                <w:rFonts w:ascii="Arial" w:hAnsi="Arial" w:cs="Arial"/>
                <w:sz w:val="20"/>
                <w:szCs w:val="20"/>
              </w:rPr>
            </w:pPr>
            <w:r w:rsidRPr="007E7D6A">
              <w:rPr>
                <w:rFonts w:ascii="Arial" w:hAnsi="Arial" w:cs="Arial"/>
                <w:sz w:val="20"/>
                <w:szCs w:val="20"/>
              </w:rPr>
              <w:t>10/6/2014</w:t>
            </w:r>
          </w:p>
        </w:tc>
        <w:tc>
          <w:tcPr>
            <w:tcW w:w="0" w:type="auto"/>
          </w:tcPr>
          <w:p w14:paraId="2C61A68C" w14:textId="77777777" w:rsidR="00E23E35" w:rsidRPr="007E7D6A" w:rsidRDefault="00E23E35" w:rsidP="004F5C7C">
            <w:pPr>
              <w:keepNext/>
              <w:keepLines/>
              <w:jc w:val="center"/>
              <w:rPr>
                <w:rFonts w:ascii="Arial" w:hAnsi="Arial" w:cs="Arial"/>
                <w:sz w:val="20"/>
                <w:szCs w:val="20"/>
              </w:rPr>
            </w:pPr>
            <w:r w:rsidRPr="007E7D6A">
              <w:rPr>
                <w:rFonts w:ascii="Arial" w:hAnsi="Arial" w:cs="Arial"/>
                <w:sz w:val="20"/>
                <w:szCs w:val="20"/>
              </w:rPr>
              <w:t>Monday</w:t>
            </w:r>
          </w:p>
        </w:tc>
        <w:tc>
          <w:tcPr>
            <w:tcW w:w="0" w:type="auto"/>
            <w:vAlign w:val="center"/>
          </w:tcPr>
          <w:p w14:paraId="393F19C8" w14:textId="77777777" w:rsidR="00E23E35" w:rsidRPr="00E32463" w:rsidRDefault="00E23E35" w:rsidP="004F5C7C">
            <w:pPr>
              <w:keepNext/>
              <w:keepLines/>
              <w:jc w:val="center"/>
              <w:rPr>
                <w:rFonts w:ascii="Arial" w:hAnsi="Arial" w:cs="Arial"/>
                <w:sz w:val="20"/>
                <w:szCs w:val="20"/>
              </w:rPr>
            </w:pPr>
            <w:r>
              <w:rPr>
                <w:rFonts w:ascii="Arial" w:hAnsi="Arial" w:cs="Arial"/>
                <w:sz w:val="20"/>
                <w:szCs w:val="20"/>
              </w:rPr>
              <w:t>7</w:t>
            </w:r>
          </w:p>
        </w:tc>
        <w:tc>
          <w:tcPr>
            <w:tcW w:w="0" w:type="auto"/>
            <w:vAlign w:val="center"/>
          </w:tcPr>
          <w:p w14:paraId="44CCEE17" w14:textId="77777777" w:rsidR="00E23E35" w:rsidRPr="00E32463" w:rsidRDefault="00E23E35" w:rsidP="004F5C7C">
            <w:pPr>
              <w:keepNext/>
              <w:keepLines/>
              <w:jc w:val="center"/>
              <w:rPr>
                <w:rFonts w:ascii="Arial" w:hAnsi="Arial" w:cs="Arial"/>
                <w:sz w:val="20"/>
                <w:szCs w:val="20"/>
              </w:rPr>
            </w:pPr>
          </w:p>
        </w:tc>
        <w:tc>
          <w:tcPr>
            <w:tcW w:w="0" w:type="auto"/>
            <w:vAlign w:val="center"/>
          </w:tcPr>
          <w:p w14:paraId="04D6B96F" w14:textId="77777777" w:rsidR="00E23E35" w:rsidRPr="00E32463" w:rsidRDefault="00E23E35" w:rsidP="004F5C7C">
            <w:pPr>
              <w:keepNext/>
              <w:keepLines/>
              <w:jc w:val="center"/>
              <w:rPr>
                <w:rFonts w:ascii="Arial" w:hAnsi="Arial" w:cs="Arial"/>
                <w:sz w:val="20"/>
                <w:szCs w:val="20"/>
              </w:rPr>
            </w:pPr>
          </w:p>
        </w:tc>
        <w:tc>
          <w:tcPr>
            <w:tcW w:w="1104" w:type="dxa"/>
          </w:tcPr>
          <w:p w14:paraId="3C9478F8" w14:textId="77777777" w:rsidR="00E23E35" w:rsidRPr="00E32463" w:rsidRDefault="00E23E35" w:rsidP="004F5C7C">
            <w:pPr>
              <w:keepNext/>
              <w:keepLines/>
              <w:jc w:val="center"/>
              <w:rPr>
                <w:rFonts w:ascii="Arial" w:hAnsi="Arial" w:cs="Arial"/>
                <w:sz w:val="20"/>
                <w:szCs w:val="20"/>
              </w:rPr>
            </w:pPr>
          </w:p>
        </w:tc>
      </w:tr>
    </w:tbl>
    <w:p w14:paraId="23BACC9C" w14:textId="77777777" w:rsidR="00321E09" w:rsidRDefault="00321E09" w:rsidP="00520449">
      <w:pPr>
        <w:pStyle w:val="Heading1"/>
        <w:spacing w:before="480"/>
      </w:pPr>
      <w:bookmarkStart w:id="88" w:name="_Toc415761818"/>
      <w:r>
        <w:t>3. Study Methodology</w:t>
      </w:r>
      <w:bookmarkEnd w:id="88"/>
    </w:p>
    <w:p w14:paraId="504833BE" w14:textId="77777777" w:rsidR="00321E09" w:rsidRDefault="00321E09" w:rsidP="008A6E80">
      <w:pPr>
        <w:pStyle w:val="Heading2"/>
      </w:pPr>
      <w:bookmarkStart w:id="89" w:name="_Toc415761819"/>
      <w:r>
        <w:t>3.1 Overview</w:t>
      </w:r>
      <w:bookmarkEnd w:id="89"/>
      <w:r>
        <w:t xml:space="preserve"> </w:t>
      </w:r>
    </w:p>
    <w:p w14:paraId="7CF5ED44" w14:textId="0C8CFAA8" w:rsidR="00321E09" w:rsidRDefault="00321E09" w:rsidP="005E68AA">
      <w:r>
        <w:t xml:space="preserve">We estimated </w:t>
      </w:r>
      <w:r w:rsidR="00933F01" w:rsidRPr="00933F01">
        <w:rPr>
          <w:i/>
        </w:rPr>
        <w:t>ex-post</w:t>
      </w:r>
      <w:r>
        <w:t xml:space="preserve"> hourly load impacts using regression equations applied to customer-level hourly load data. The regression equation models hourly load as a function of a set of variables designed to control for factors affecting consumers’ hourly demand levels, such as:</w:t>
      </w:r>
    </w:p>
    <w:p w14:paraId="019C4377" w14:textId="77777777" w:rsidR="00321E09" w:rsidRPr="001E060E" w:rsidRDefault="00321E09" w:rsidP="00C16F24">
      <w:pPr>
        <w:numPr>
          <w:ilvl w:val="0"/>
          <w:numId w:val="1"/>
        </w:numPr>
        <w:spacing w:before="120"/>
      </w:pPr>
      <w:r>
        <w:t>Seasonal and hourly time patterns (</w:t>
      </w:r>
      <w:r>
        <w:rPr>
          <w:i/>
        </w:rPr>
        <w:t>e.g.</w:t>
      </w:r>
      <w:r>
        <w:t xml:space="preserve">, year, month, day-of-week, and hour, plus </w:t>
      </w:r>
      <w:r w:rsidRPr="001E060E">
        <w:t>various hour/day-type interactions)</w:t>
      </w:r>
      <w:r>
        <w:t>;</w:t>
      </w:r>
    </w:p>
    <w:p w14:paraId="62D4E626" w14:textId="77777777" w:rsidR="00321E09" w:rsidRPr="001E060E" w:rsidRDefault="00321E09" w:rsidP="005E68AA">
      <w:pPr>
        <w:numPr>
          <w:ilvl w:val="0"/>
          <w:numId w:val="1"/>
        </w:numPr>
      </w:pPr>
      <w:r w:rsidRPr="001E060E">
        <w:t>Weather</w:t>
      </w:r>
      <w:r w:rsidR="00036433">
        <w:t xml:space="preserve">, </w:t>
      </w:r>
      <w:r w:rsidRPr="001E060E">
        <w:t>including hour-specific weather coefficients</w:t>
      </w:r>
      <w:r>
        <w:t>;</w:t>
      </w:r>
    </w:p>
    <w:p w14:paraId="1C8E294F" w14:textId="77777777" w:rsidR="00321E09" w:rsidRPr="001E060E" w:rsidRDefault="00321E09" w:rsidP="005E68AA">
      <w:pPr>
        <w:numPr>
          <w:ilvl w:val="0"/>
          <w:numId w:val="1"/>
        </w:numPr>
      </w:pPr>
      <w:r w:rsidRPr="001E060E">
        <w:t xml:space="preserve">Event </w:t>
      </w:r>
      <w:r>
        <w:t xml:space="preserve">variables. A series of dummy variables was included to account for each hour of each event day, allowing us to estimate the load impacts for all hours across the event days.  </w:t>
      </w:r>
    </w:p>
    <w:p w14:paraId="14D3710D" w14:textId="77777777" w:rsidR="00321E09" w:rsidRDefault="00321E09" w:rsidP="005E68AA"/>
    <w:p w14:paraId="0EA4BFCA" w14:textId="0C9B9472" w:rsidR="00321E09" w:rsidRDefault="00321E09" w:rsidP="005E68AA">
      <w:r>
        <w:t xml:space="preserve">The models use the </w:t>
      </w:r>
      <w:r w:rsidRPr="00533155">
        <w:t>level</w:t>
      </w:r>
      <w:r>
        <w:t xml:space="preserve"> of hourly demand (kW) as the dependent variable and a separate equation is estimated for each enrolled customer. As a result, the coefficients on the event day/hour variables are direct estimates of the </w:t>
      </w:r>
      <w:r w:rsidR="00933F01" w:rsidRPr="00933F01">
        <w:rPr>
          <w:i/>
        </w:rPr>
        <w:t>ex-post</w:t>
      </w:r>
      <w:r>
        <w:t xml:space="preserve"> load impacts. For example, a DBP hour 1</w:t>
      </w:r>
      <w:r w:rsidR="00264B54">
        <w:t>5</w:t>
      </w:r>
      <w:r>
        <w:t xml:space="preserve"> event coefficient of -100 would mean that the customer </w:t>
      </w:r>
      <w:r>
        <w:lastRenderedPageBreak/>
        <w:t>reduced load by 100 kWh during hour 1</w:t>
      </w:r>
      <w:r w:rsidR="00264B54">
        <w:t>5</w:t>
      </w:r>
      <w:r>
        <w:t xml:space="preserve"> of that event day relative to its normal usage in that hour. Weekends and holidays were excluded from the estimation database.</w:t>
      </w:r>
      <w:r w:rsidRPr="00BE6F16">
        <w:rPr>
          <w:rStyle w:val="FootnoteReference"/>
        </w:rPr>
        <w:footnoteReference w:id="9"/>
      </w:r>
      <w:r>
        <w:t xml:space="preserve">  </w:t>
      </w:r>
    </w:p>
    <w:p w14:paraId="615E6779" w14:textId="77777777" w:rsidR="002459F5" w:rsidRDefault="002459F5" w:rsidP="005E68AA"/>
    <w:p w14:paraId="7DB4648B" w14:textId="77777777" w:rsidR="002459F5" w:rsidRDefault="002459F5" w:rsidP="005E68AA">
      <w:r>
        <w:t xml:space="preserve">We tested a variety of weather variables in an attempt to determine which set best explains usage on event-like non-event days. This process and its results are explained in </w:t>
      </w:r>
      <w:r w:rsidR="00002762">
        <w:t>Appendix A</w:t>
      </w:r>
      <w:r>
        <w:t>.</w:t>
      </w:r>
    </w:p>
    <w:p w14:paraId="0C8235AA" w14:textId="77777777" w:rsidR="00321E09" w:rsidRDefault="00321E09" w:rsidP="008943AD">
      <w:pPr>
        <w:pStyle w:val="Heading2"/>
      </w:pPr>
      <w:bookmarkStart w:id="90" w:name="_Toc415761820"/>
      <w:r>
        <w:t>3.2 Description of methods</w:t>
      </w:r>
      <w:bookmarkEnd w:id="90"/>
    </w:p>
    <w:p w14:paraId="7A517653" w14:textId="77777777" w:rsidR="00321E09" w:rsidRPr="00146E50" w:rsidRDefault="00321E09" w:rsidP="00146E50">
      <w:pPr>
        <w:pStyle w:val="Heading3"/>
        <w:rPr>
          <w:sz w:val="22"/>
          <w:szCs w:val="22"/>
        </w:rPr>
      </w:pPr>
      <w:bookmarkStart w:id="91" w:name="_Toc415761821"/>
      <w:r>
        <w:rPr>
          <w:sz w:val="22"/>
          <w:szCs w:val="22"/>
        </w:rPr>
        <w:t>3</w:t>
      </w:r>
      <w:r w:rsidRPr="00146E50">
        <w:rPr>
          <w:sz w:val="22"/>
          <w:szCs w:val="22"/>
        </w:rPr>
        <w:t>.2.</w:t>
      </w:r>
      <w:r>
        <w:rPr>
          <w:sz w:val="22"/>
          <w:szCs w:val="22"/>
        </w:rPr>
        <w:t>1</w:t>
      </w:r>
      <w:r w:rsidRPr="00146E50">
        <w:rPr>
          <w:sz w:val="22"/>
          <w:szCs w:val="22"/>
        </w:rPr>
        <w:t xml:space="preserve"> </w:t>
      </w:r>
      <w:r>
        <w:rPr>
          <w:sz w:val="22"/>
          <w:szCs w:val="22"/>
        </w:rPr>
        <w:t>Regression</w:t>
      </w:r>
      <w:r w:rsidRPr="00146E50">
        <w:rPr>
          <w:sz w:val="22"/>
          <w:szCs w:val="22"/>
        </w:rPr>
        <w:t xml:space="preserve"> Model</w:t>
      </w:r>
      <w:bookmarkEnd w:id="91"/>
    </w:p>
    <w:p w14:paraId="22353781" w14:textId="77777777" w:rsidR="00321E09" w:rsidRPr="00E92D52" w:rsidRDefault="00321E09" w:rsidP="00B81672">
      <w:pPr>
        <w:rPr>
          <w:b/>
        </w:rPr>
      </w:pPr>
      <w:r>
        <w:t>The model shown below was separately estimated for each enrolled customer.</w:t>
      </w:r>
      <w:r w:rsidR="00E92D52">
        <w:t xml:space="preserve"> Table 3.1 describes the terms included in the equation.</w:t>
      </w:r>
    </w:p>
    <w:p w14:paraId="6E9F1252" w14:textId="77777777" w:rsidR="00321E09" w:rsidRDefault="00321E09" w:rsidP="00B81672"/>
    <w:p w14:paraId="678ED869" w14:textId="77777777" w:rsidR="00321E09" w:rsidRDefault="00EB0348" w:rsidP="00B81672">
      <w:r w:rsidRPr="00877B31">
        <w:rPr>
          <w:position w:val="-134"/>
        </w:rPr>
        <w:object w:dxaOrig="8500" w:dyaOrig="2799" w14:anchorId="29CE8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4pt;height:136.5pt" o:ole="">
            <v:imagedata r:id="rId15" o:title=""/>
          </v:shape>
          <o:OLEObject Type="Embed" ProgID="Equation.3" ShapeID="_x0000_i1025" DrawAspect="Content" ObjectID="_1489503677" r:id="rId16"/>
        </w:object>
      </w:r>
    </w:p>
    <w:p w14:paraId="6E112176" w14:textId="77777777" w:rsidR="00321E09" w:rsidRDefault="00321E09" w:rsidP="00B81672"/>
    <w:p w14:paraId="223DAC99" w14:textId="0ECE3BFF" w:rsidR="00E92D52" w:rsidRPr="00852320" w:rsidRDefault="00E92D52" w:rsidP="00E92D52">
      <w:pPr>
        <w:pStyle w:val="TableCaption"/>
        <w:keepNext/>
        <w:keepLines/>
      </w:pPr>
      <w:bookmarkStart w:id="92" w:name="_Toc415761873"/>
      <w:r w:rsidRPr="00852320">
        <w:lastRenderedPageBreak/>
        <w:t xml:space="preserve">Table 3.1: Descriptions of Terms included in the </w:t>
      </w:r>
      <w:r w:rsidR="00933F01" w:rsidRPr="00933F01">
        <w:rPr>
          <w:i/>
        </w:rPr>
        <w:t>Ex-post</w:t>
      </w:r>
      <w:r w:rsidRPr="00852320">
        <w:t xml:space="preserve"> Regression Equation</w:t>
      </w:r>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6693"/>
      </w:tblGrid>
      <w:tr w:rsidR="00E92D52" w14:paraId="4E48AD27" w14:textId="77777777" w:rsidTr="0005199B">
        <w:trPr>
          <w:jc w:val="center"/>
        </w:trPr>
        <w:tc>
          <w:tcPr>
            <w:tcW w:w="0" w:type="auto"/>
            <w:shd w:val="clear" w:color="auto" w:fill="D9E2F3"/>
            <w:vAlign w:val="center"/>
          </w:tcPr>
          <w:p w14:paraId="33131F75" w14:textId="77777777" w:rsidR="00E92D52" w:rsidRPr="00AA745A" w:rsidRDefault="00E92D52" w:rsidP="00AA745A">
            <w:pPr>
              <w:keepNext/>
              <w:keepLines/>
              <w:jc w:val="center"/>
              <w:rPr>
                <w:rFonts w:ascii="Arial" w:hAnsi="Arial" w:cs="Arial"/>
                <w:b/>
                <w:sz w:val="20"/>
                <w:szCs w:val="20"/>
              </w:rPr>
            </w:pPr>
            <w:r w:rsidRPr="00AA745A">
              <w:rPr>
                <w:rFonts w:ascii="Arial" w:hAnsi="Arial" w:cs="Arial"/>
                <w:b/>
                <w:sz w:val="20"/>
                <w:szCs w:val="20"/>
              </w:rPr>
              <w:t>Variable Name / Term</w:t>
            </w:r>
          </w:p>
        </w:tc>
        <w:tc>
          <w:tcPr>
            <w:tcW w:w="0" w:type="auto"/>
            <w:shd w:val="clear" w:color="auto" w:fill="D9E2F3"/>
            <w:vAlign w:val="center"/>
          </w:tcPr>
          <w:p w14:paraId="7FAA95FB" w14:textId="77777777" w:rsidR="00E92D52" w:rsidRPr="00AA745A" w:rsidRDefault="00E92D52" w:rsidP="00AA745A">
            <w:pPr>
              <w:keepNext/>
              <w:keepLines/>
              <w:jc w:val="center"/>
              <w:rPr>
                <w:rFonts w:ascii="Arial" w:hAnsi="Arial" w:cs="Arial"/>
                <w:b/>
                <w:sz w:val="20"/>
                <w:szCs w:val="20"/>
              </w:rPr>
            </w:pPr>
            <w:r w:rsidRPr="00AA745A">
              <w:rPr>
                <w:rFonts w:ascii="Arial" w:hAnsi="Arial" w:cs="Arial"/>
                <w:b/>
                <w:sz w:val="20"/>
                <w:szCs w:val="20"/>
              </w:rPr>
              <w:t>Variable / Term Description</w:t>
            </w:r>
          </w:p>
        </w:tc>
      </w:tr>
      <w:tr w:rsidR="00E92D52" w14:paraId="39A5A6CA" w14:textId="77777777" w:rsidTr="00AA745A">
        <w:trPr>
          <w:jc w:val="center"/>
        </w:trPr>
        <w:tc>
          <w:tcPr>
            <w:tcW w:w="0" w:type="auto"/>
            <w:shd w:val="clear" w:color="auto" w:fill="auto"/>
            <w:vAlign w:val="center"/>
          </w:tcPr>
          <w:p w14:paraId="55278B75"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Q</w:t>
            </w:r>
            <w:r w:rsidRPr="00AA745A">
              <w:rPr>
                <w:rFonts w:ascii="Arial" w:hAnsi="Arial" w:cs="Arial"/>
                <w:i/>
                <w:sz w:val="20"/>
                <w:szCs w:val="20"/>
                <w:vertAlign w:val="subscript"/>
              </w:rPr>
              <w:t>t</w:t>
            </w:r>
          </w:p>
        </w:tc>
        <w:tc>
          <w:tcPr>
            <w:tcW w:w="0" w:type="auto"/>
            <w:shd w:val="clear" w:color="auto" w:fill="auto"/>
            <w:vAlign w:val="center"/>
          </w:tcPr>
          <w:p w14:paraId="691DDC9F"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the demand in hour </w:t>
            </w:r>
            <w:r w:rsidRPr="00AA745A">
              <w:rPr>
                <w:rFonts w:ascii="Arial" w:hAnsi="Arial" w:cs="Arial"/>
                <w:i/>
                <w:sz w:val="20"/>
                <w:szCs w:val="20"/>
              </w:rPr>
              <w:t>t</w:t>
            </w:r>
            <w:r w:rsidRPr="00AA745A">
              <w:rPr>
                <w:rFonts w:ascii="Arial" w:hAnsi="Arial" w:cs="Arial"/>
                <w:sz w:val="20"/>
                <w:szCs w:val="20"/>
              </w:rPr>
              <w:t xml:space="preserve"> for a customer enrolled in DBP prior to the last event date</w:t>
            </w:r>
          </w:p>
        </w:tc>
      </w:tr>
      <w:tr w:rsidR="00E92D52" w14:paraId="6CCEAF4B" w14:textId="77777777" w:rsidTr="00AA745A">
        <w:trPr>
          <w:jc w:val="center"/>
        </w:trPr>
        <w:tc>
          <w:tcPr>
            <w:tcW w:w="0" w:type="auto"/>
            <w:shd w:val="clear" w:color="auto" w:fill="auto"/>
            <w:vAlign w:val="center"/>
          </w:tcPr>
          <w:p w14:paraId="22FC63DC" w14:textId="77777777" w:rsidR="00E92D52" w:rsidRPr="00AA745A" w:rsidRDefault="00E92D52" w:rsidP="00AA745A">
            <w:pPr>
              <w:keepNext/>
              <w:keepLines/>
              <w:jc w:val="center"/>
              <w:rPr>
                <w:rFonts w:ascii="Arial" w:hAnsi="Arial" w:cs="Arial"/>
                <w:sz w:val="20"/>
                <w:szCs w:val="20"/>
              </w:rPr>
            </w:pPr>
            <w:r w:rsidRPr="00AA745A">
              <w:rPr>
                <w:rFonts w:ascii="Arial" w:hAnsi="Arial" w:cs="Arial"/>
                <w:sz w:val="20"/>
                <w:szCs w:val="20"/>
              </w:rPr>
              <w:t xml:space="preserve">The various </w:t>
            </w:r>
            <w:r w:rsidRPr="00AA745A">
              <w:rPr>
                <w:rFonts w:ascii="Arial" w:hAnsi="Arial" w:cs="Arial"/>
                <w:i/>
                <w:sz w:val="20"/>
                <w:szCs w:val="20"/>
              </w:rPr>
              <w:t>b</w:t>
            </w:r>
            <w:r w:rsidRPr="00AA745A">
              <w:rPr>
                <w:rFonts w:ascii="Arial" w:hAnsi="Arial" w:cs="Arial"/>
                <w:sz w:val="20"/>
                <w:szCs w:val="20"/>
              </w:rPr>
              <w:t xml:space="preserve">’s </w:t>
            </w:r>
          </w:p>
        </w:tc>
        <w:tc>
          <w:tcPr>
            <w:tcW w:w="0" w:type="auto"/>
            <w:shd w:val="clear" w:color="auto" w:fill="auto"/>
            <w:vAlign w:val="center"/>
          </w:tcPr>
          <w:p w14:paraId="478FA58B"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the estimated parameters</w:t>
            </w:r>
          </w:p>
        </w:tc>
      </w:tr>
      <w:tr w:rsidR="00E92D52" w14:paraId="7D152356" w14:textId="77777777" w:rsidTr="00AA745A">
        <w:trPr>
          <w:jc w:val="center"/>
        </w:trPr>
        <w:tc>
          <w:tcPr>
            <w:tcW w:w="0" w:type="auto"/>
            <w:shd w:val="clear" w:color="auto" w:fill="auto"/>
            <w:vAlign w:val="center"/>
          </w:tcPr>
          <w:p w14:paraId="5027BC5E"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h</w:t>
            </w:r>
            <w:r w:rsidRPr="00AA745A">
              <w:rPr>
                <w:rFonts w:ascii="Arial" w:hAnsi="Arial" w:cs="Arial"/>
                <w:i/>
                <w:sz w:val="20"/>
                <w:szCs w:val="20"/>
                <w:vertAlign w:val="subscript"/>
              </w:rPr>
              <w:t>i,t</w:t>
            </w:r>
          </w:p>
        </w:tc>
        <w:tc>
          <w:tcPr>
            <w:tcW w:w="0" w:type="auto"/>
            <w:shd w:val="clear" w:color="auto" w:fill="auto"/>
            <w:vAlign w:val="center"/>
          </w:tcPr>
          <w:p w14:paraId="1F724030"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a dummy variable for hour </w:t>
            </w:r>
            <w:r w:rsidRPr="00AA745A">
              <w:rPr>
                <w:rFonts w:ascii="Arial" w:hAnsi="Arial" w:cs="Arial"/>
                <w:i/>
                <w:sz w:val="20"/>
                <w:szCs w:val="20"/>
              </w:rPr>
              <w:t>i</w:t>
            </w:r>
          </w:p>
        </w:tc>
      </w:tr>
      <w:tr w:rsidR="00E92D52" w14:paraId="6C0C0FC8" w14:textId="77777777" w:rsidTr="00AA745A">
        <w:trPr>
          <w:jc w:val="center"/>
        </w:trPr>
        <w:tc>
          <w:tcPr>
            <w:tcW w:w="0" w:type="auto"/>
            <w:shd w:val="clear" w:color="auto" w:fill="auto"/>
            <w:vAlign w:val="center"/>
          </w:tcPr>
          <w:p w14:paraId="2EF99966"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DBP</w:t>
            </w:r>
            <w:r w:rsidRPr="00AA745A">
              <w:rPr>
                <w:rFonts w:ascii="Arial" w:hAnsi="Arial" w:cs="Arial"/>
                <w:i/>
                <w:sz w:val="20"/>
                <w:szCs w:val="20"/>
                <w:vertAlign w:val="subscript"/>
              </w:rPr>
              <w:t>t</w:t>
            </w:r>
          </w:p>
        </w:tc>
        <w:tc>
          <w:tcPr>
            <w:tcW w:w="0" w:type="auto"/>
            <w:shd w:val="clear" w:color="auto" w:fill="auto"/>
            <w:vAlign w:val="center"/>
          </w:tcPr>
          <w:p w14:paraId="387E9AF9"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an indicator variable for program event days</w:t>
            </w:r>
          </w:p>
        </w:tc>
      </w:tr>
      <w:tr w:rsidR="00E92D52" w14:paraId="2463B718" w14:textId="77777777" w:rsidTr="00AA745A">
        <w:trPr>
          <w:jc w:val="center"/>
        </w:trPr>
        <w:tc>
          <w:tcPr>
            <w:tcW w:w="0" w:type="auto"/>
            <w:shd w:val="clear" w:color="auto" w:fill="auto"/>
            <w:vAlign w:val="center"/>
          </w:tcPr>
          <w:p w14:paraId="25C656E1" w14:textId="77777777" w:rsidR="00E92D52" w:rsidRPr="00AA745A" w:rsidRDefault="002459F5" w:rsidP="00AA745A">
            <w:pPr>
              <w:keepNext/>
              <w:keepLines/>
              <w:jc w:val="center"/>
              <w:rPr>
                <w:rFonts w:ascii="Arial" w:hAnsi="Arial" w:cs="Arial"/>
                <w:sz w:val="20"/>
                <w:szCs w:val="20"/>
              </w:rPr>
            </w:pPr>
            <w:r w:rsidRPr="00AA745A">
              <w:rPr>
                <w:rFonts w:ascii="Arial" w:hAnsi="Arial" w:cs="Arial"/>
                <w:i/>
                <w:sz w:val="20"/>
                <w:szCs w:val="20"/>
              </w:rPr>
              <w:t>Weather</w:t>
            </w:r>
            <w:r w:rsidR="00E92D52" w:rsidRPr="00AA745A">
              <w:rPr>
                <w:rFonts w:ascii="Arial" w:hAnsi="Arial" w:cs="Arial"/>
                <w:i/>
                <w:sz w:val="20"/>
                <w:szCs w:val="20"/>
                <w:vertAlign w:val="subscript"/>
              </w:rPr>
              <w:t>t</w:t>
            </w:r>
          </w:p>
        </w:tc>
        <w:tc>
          <w:tcPr>
            <w:tcW w:w="0" w:type="auto"/>
            <w:shd w:val="clear" w:color="auto" w:fill="auto"/>
            <w:vAlign w:val="center"/>
          </w:tcPr>
          <w:p w14:paraId="44FFCCE1" w14:textId="77777777" w:rsidR="00E92D52" w:rsidRPr="00AA745A" w:rsidRDefault="002459F5" w:rsidP="00AA745A">
            <w:pPr>
              <w:keepNext/>
              <w:keepLines/>
              <w:rPr>
                <w:rFonts w:ascii="Arial" w:hAnsi="Arial" w:cs="Arial"/>
                <w:sz w:val="20"/>
                <w:szCs w:val="20"/>
              </w:rPr>
            </w:pPr>
            <w:r w:rsidRPr="00AA745A">
              <w:rPr>
                <w:rFonts w:ascii="Arial" w:hAnsi="Arial" w:cs="Arial"/>
                <w:sz w:val="20"/>
                <w:szCs w:val="20"/>
              </w:rPr>
              <w:t>the weather variables selected using our model screening process</w:t>
            </w:r>
            <w:r w:rsidR="00E92D52" w:rsidRPr="00AA745A">
              <w:rPr>
                <w:rFonts w:ascii="Arial" w:hAnsi="Arial" w:cs="Arial"/>
                <w:sz w:val="20"/>
                <w:szCs w:val="20"/>
              </w:rPr>
              <w:t xml:space="preserve"> </w:t>
            </w:r>
          </w:p>
        </w:tc>
      </w:tr>
      <w:tr w:rsidR="00E92D52" w14:paraId="0F93093F" w14:textId="77777777" w:rsidTr="00AA745A">
        <w:trPr>
          <w:jc w:val="center"/>
        </w:trPr>
        <w:tc>
          <w:tcPr>
            <w:tcW w:w="0" w:type="auto"/>
            <w:shd w:val="clear" w:color="auto" w:fill="auto"/>
            <w:vAlign w:val="center"/>
          </w:tcPr>
          <w:p w14:paraId="2073E804"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E</w:t>
            </w:r>
          </w:p>
        </w:tc>
        <w:tc>
          <w:tcPr>
            <w:tcW w:w="0" w:type="auto"/>
            <w:shd w:val="clear" w:color="auto" w:fill="auto"/>
            <w:vAlign w:val="center"/>
          </w:tcPr>
          <w:p w14:paraId="1998A232"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the number of event days that occurred during the program year </w:t>
            </w:r>
          </w:p>
        </w:tc>
      </w:tr>
      <w:tr w:rsidR="00E92D52" w14:paraId="63C68F50" w14:textId="77777777" w:rsidTr="00AA745A">
        <w:trPr>
          <w:jc w:val="center"/>
        </w:trPr>
        <w:tc>
          <w:tcPr>
            <w:tcW w:w="0" w:type="auto"/>
            <w:shd w:val="clear" w:color="auto" w:fill="auto"/>
            <w:vAlign w:val="center"/>
          </w:tcPr>
          <w:p w14:paraId="16D66864"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MornLoad</w:t>
            </w:r>
            <w:r w:rsidRPr="00AA745A">
              <w:rPr>
                <w:rFonts w:ascii="Arial" w:hAnsi="Arial" w:cs="Arial"/>
                <w:i/>
                <w:sz w:val="20"/>
                <w:szCs w:val="20"/>
                <w:vertAlign w:val="subscript"/>
              </w:rPr>
              <w:t>t</w:t>
            </w:r>
          </w:p>
        </w:tc>
        <w:tc>
          <w:tcPr>
            <w:tcW w:w="0" w:type="auto"/>
            <w:shd w:val="clear" w:color="auto" w:fill="auto"/>
            <w:vAlign w:val="center"/>
          </w:tcPr>
          <w:p w14:paraId="3A6F8824"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a variable equal to the average of the day’s load in hours 1 through 10</w:t>
            </w:r>
          </w:p>
        </w:tc>
      </w:tr>
      <w:tr w:rsidR="00E92D52" w14:paraId="04406653" w14:textId="77777777" w:rsidTr="00AA745A">
        <w:trPr>
          <w:jc w:val="center"/>
        </w:trPr>
        <w:tc>
          <w:tcPr>
            <w:tcW w:w="0" w:type="auto"/>
            <w:shd w:val="clear" w:color="auto" w:fill="auto"/>
            <w:vAlign w:val="center"/>
          </w:tcPr>
          <w:p w14:paraId="5374DFC8"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OtherEvt</w:t>
            </w:r>
            <w:r w:rsidR="00EB0348" w:rsidRPr="00EB0348">
              <w:rPr>
                <w:rFonts w:ascii="Arial" w:hAnsi="Arial" w:cs="Arial"/>
                <w:i/>
                <w:sz w:val="20"/>
                <w:szCs w:val="20"/>
                <w:vertAlign w:val="superscript"/>
              </w:rPr>
              <w:t>DR</w:t>
            </w:r>
            <w:r w:rsidRPr="00AA745A">
              <w:rPr>
                <w:rFonts w:ascii="Arial" w:hAnsi="Arial" w:cs="Arial"/>
                <w:i/>
                <w:sz w:val="20"/>
                <w:szCs w:val="20"/>
                <w:vertAlign w:val="subscript"/>
              </w:rPr>
              <w:t>t</w:t>
            </w:r>
          </w:p>
        </w:tc>
        <w:tc>
          <w:tcPr>
            <w:tcW w:w="0" w:type="auto"/>
            <w:shd w:val="clear" w:color="auto" w:fill="auto"/>
            <w:vAlign w:val="center"/>
          </w:tcPr>
          <w:p w14:paraId="45B9CED4"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equals one </w:t>
            </w:r>
            <w:r w:rsidR="0020029B" w:rsidRPr="00AA745A">
              <w:rPr>
                <w:rFonts w:ascii="Arial" w:hAnsi="Arial" w:cs="Arial"/>
                <w:sz w:val="20"/>
                <w:szCs w:val="20"/>
              </w:rPr>
              <w:t>o</w:t>
            </w:r>
            <w:r w:rsidRPr="00AA745A">
              <w:rPr>
                <w:rFonts w:ascii="Arial" w:hAnsi="Arial" w:cs="Arial"/>
                <w:sz w:val="20"/>
                <w:szCs w:val="20"/>
              </w:rPr>
              <w:t xml:space="preserve">n the event </w:t>
            </w:r>
            <w:r w:rsidR="0020029B" w:rsidRPr="00AA745A">
              <w:rPr>
                <w:rFonts w:ascii="Arial" w:hAnsi="Arial" w:cs="Arial"/>
                <w:sz w:val="20"/>
                <w:szCs w:val="20"/>
              </w:rPr>
              <w:t>day</w:t>
            </w:r>
            <w:r w:rsidRPr="00AA745A">
              <w:rPr>
                <w:rFonts w:ascii="Arial" w:hAnsi="Arial" w:cs="Arial"/>
                <w:sz w:val="20"/>
                <w:szCs w:val="20"/>
              </w:rPr>
              <w:t xml:space="preserve">s of other demand response programs in which the customer is enrolled </w:t>
            </w:r>
          </w:p>
        </w:tc>
      </w:tr>
      <w:tr w:rsidR="00E92D52" w14:paraId="5B66D48A" w14:textId="77777777" w:rsidTr="00AA745A">
        <w:trPr>
          <w:jc w:val="center"/>
        </w:trPr>
        <w:tc>
          <w:tcPr>
            <w:tcW w:w="0" w:type="auto"/>
            <w:shd w:val="clear" w:color="auto" w:fill="auto"/>
            <w:vAlign w:val="center"/>
          </w:tcPr>
          <w:p w14:paraId="35A22052" w14:textId="77777777" w:rsidR="00E92D52" w:rsidRPr="00AA745A" w:rsidRDefault="00E92D52" w:rsidP="00AA745A">
            <w:pPr>
              <w:keepNext/>
              <w:keepLines/>
              <w:jc w:val="center"/>
              <w:rPr>
                <w:rFonts w:ascii="Arial" w:hAnsi="Arial" w:cs="Arial"/>
                <w:sz w:val="20"/>
                <w:szCs w:val="20"/>
              </w:rPr>
            </w:pPr>
            <w:smartTag w:uri="urn:schemas-microsoft-com:office:smarttags" w:element="place">
              <w:smartTag w:uri="urn:schemas-microsoft-com:office:smarttags" w:element="State">
                <w:r w:rsidRPr="00AA745A">
                  <w:rPr>
                    <w:rFonts w:ascii="Arial" w:hAnsi="Arial" w:cs="Arial"/>
                    <w:i/>
                    <w:sz w:val="20"/>
                    <w:szCs w:val="20"/>
                  </w:rPr>
                  <w:t>MON</w:t>
                </w:r>
                <w:r w:rsidRPr="00AA745A">
                  <w:rPr>
                    <w:rFonts w:ascii="Arial" w:hAnsi="Arial" w:cs="Arial"/>
                    <w:i/>
                    <w:sz w:val="20"/>
                    <w:szCs w:val="20"/>
                    <w:vertAlign w:val="subscript"/>
                  </w:rPr>
                  <w:t>t</w:t>
                </w:r>
              </w:smartTag>
            </w:smartTag>
          </w:p>
        </w:tc>
        <w:tc>
          <w:tcPr>
            <w:tcW w:w="0" w:type="auto"/>
            <w:shd w:val="clear" w:color="auto" w:fill="auto"/>
            <w:vAlign w:val="center"/>
          </w:tcPr>
          <w:p w14:paraId="27BEBD09"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a dummy variable for Monday </w:t>
            </w:r>
          </w:p>
        </w:tc>
      </w:tr>
      <w:tr w:rsidR="00E92D52" w14:paraId="691DC3AA" w14:textId="77777777" w:rsidTr="00AA745A">
        <w:trPr>
          <w:jc w:val="center"/>
        </w:trPr>
        <w:tc>
          <w:tcPr>
            <w:tcW w:w="0" w:type="auto"/>
            <w:shd w:val="clear" w:color="auto" w:fill="auto"/>
            <w:vAlign w:val="center"/>
          </w:tcPr>
          <w:p w14:paraId="12F49CE9"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FRI</w:t>
            </w:r>
            <w:r w:rsidRPr="00AA745A">
              <w:rPr>
                <w:rFonts w:ascii="Arial" w:hAnsi="Arial" w:cs="Arial"/>
                <w:i/>
                <w:sz w:val="20"/>
                <w:szCs w:val="20"/>
                <w:vertAlign w:val="subscript"/>
              </w:rPr>
              <w:t>t</w:t>
            </w:r>
          </w:p>
        </w:tc>
        <w:tc>
          <w:tcPr>
            <w:tcW w:w="0" w:type="auto"/>
            <w:shd w:val="clear" w:color="auto" w:fill="auto"/>
            <w:vAlign w:val="center"/>
          </w:tcPr>
          <w:p w14:paraId="4D3443E7"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a dummy variable for Friday </w:t>
            </w:r>
          </w:p>
        </w:tc>
      </w:tr>
      <w:tr w:rsidR="00877B31" w14:paraId="47117761" w14:textId="77777777" w:rsidTr="00AA745A">
        <w:trPr>
          <w:jc w:val="center"/>
        </w:trPr>
        <w:tc>
          <w:tcPr>
            <w:tcW w:w="0" w:type="auto"/>
            <w:shd w:val="clear" w:color="auto" w:fill="auto"/>
            <w:vAlign w:val="center"/>
          </w:tcPr>
          <w:p w14:paraId="35E84D4A" w14:textId="77777777" w:rsidR="00877B31" w:rsidRPr="00AA745A" w:rsidRDefault="002B0E14" w:rsidP="00AA745A">
            <w:pPr>
              <w:keepNext/>
              <w:keepLines/>
              <w:jc w:val="center"/>
              <w:rPr>
                <w:rFonts w:ascii="Arial" w:hAnsi="Arial" w:cs="Arial"/>
                <w:i/>
                <w:sz w:val="20"/>
                <w:szCs w:val="20"/>
              </w:rPr>
            </w:pPr>
            <w:r w:rsidRPr="00AA745A">
              <w:rPr>
                <w:rFonts w:ascii="Arial" w:hAnsi="Arial" w:cs="Arial"/>
                <w:i/>
                <w:sz w:val="20"/>
                <w:szCs w:val="20"/>
              </w:rPr>
              <w:t>SUMMER</w:t>
            </w:r>
            <w:r w:rsidR="00877B31" w:rsidRPr="00AA745A">
              <w:rPr>
                <w:rFonts w:ascii="Arial" w:hAnsi="Arial" w:cs="Arial"/>
                <w:i/>
                <w:sz w:val="20"/>
                <w:szCs w:val="20"/>
                <w:vertAlign w:val="subscript"/>
              </w:rPr>
              <w:t>t</w:t>
            </w:r>
          </w:p>
        </w:tc>
        <w:tc>
          <w:tcPr>
            <w:tcW w:w="0" w:type="auto"/>
            <w:shd w:val="clear" w:color="auto" w:fill="auto"/>
            <w:vAlign w:val="center"/>
          </w:tcPr>
          <w:p w14:paraId="2BE9E561"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 xml:space="preserve">a dummy variable for </w:t>
            </w:r>
            <w:r w:rsidR="002B0E14" w:rsidRPr="00AA745A">
              <w:rPr>
                <w:rFonts w:ascii="Arial" w:hAnsi="Arial" w:cs="Arial"/>
                <w:sz w:val="20"/>
                <w:szCs w:val="20"/>
              </w:rPr>
              <w:t>the summer pricing season</w:t>
            </w:r>
            <w:r w:rsidR="002B0E14" w:rsidRPr="00AA745A">
              <w:rPr>
                <w:rStyle w:val="FootnoteReference"/>
                <w:rFonts w:ascii="Arial" w:hAnsi="Arial"/>
                <w:sz w:val="20"/>
                <w:szCs w:val="20"/>
              </w:rPr>
              <w:footnoteReference w:id="10"/>
            </w:r>
          </w:p>
        </w:tc>
      </w:tr>
      <w:tr w:rsidR="00877B31" w14:paraId="0284C256" w14:textId="77777777" w:rsidTr="00AA745A">
        <w:trPr>
          <w:jc w:val="center"/>
        </w:trPr>
        <w:tc>
          <w:tcPr>
            <w:tcW w:w="0" w:type="auto"/>
            <w:shd w:val="clear" w:color="auto" w:fill="auto"/>
            <w:vAlign w:val="center"/>
          </w:tcPr>
          <w:p w14:paraId="041DA679" w14:textId="77777777" w:rsidR="00877B31" w:rsidRPr="00AA745A" w:rsidRDefault="00877B31" w:rsidP="00AA745A">
            <w:pPr>
              <w:keepNext/>
              <w:keepLines/>
              <w:jc w:val="center"/>
              <w:rPr>
                <w:rFonts w:ascii="Arial" w:hAnsi="Arial" w:cs="Arial"/>
                <w:sz w:val="20"/>
                <w:szCs w:val="20"/>
              </w:rPr>
            </w:pPr>
            <w:r w:rsidRPr="00AA745A">
              <w:rPr>
                <w:rFonts w:ascii="Arial" w:hAnsi="Arial" w:cs="Arial"/>
                <w:i/>
                <w:sz w:val="20"/>
                <w:szCs w:val="20"/>
              </w:rPr>
              <w:t>DTYPE</w:t>
            </w:r>
            <w:r w:rsidRPr="00AA745A">
              <w:rPr>
                <w:rFonts w:ascii="Arial" w:hAnsi="Arial" w:cs="Arial"/>
                <w:i/>
                <w:sz w:val="20"/>
                <w:szCs w:val="20"/>
                <w:vertAlign w:val="subscript"/>
              </w:rPr>
              <w:t>i,t</w:t>
            </w:r>
          </w:p>
        </w:tc>
        <w:tc>
          <w:tcPr>
            <w:tcW w:w="0" w:type="auto"/>
            <w:shd w:val="clear" w:color="auto" w:fill="auto"/>
            <w:vAlign w:val="center"/>
          </w:tcPr>
          <w:p w14:paraId="00882875"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a series of dummy variables for each day of the week</w:t>
            </w:r>
          </w:p>
        </w:tc>
      </w:tr>
      <w:tr w:rsidR="00877B31" w14:paraId="20EC683A" w14:textId="77777777" w:rsidTr="00AA745A">
        <w:trPr>
          <w:jc w:val="center"/>
        </w:trPr>
        <w:tc>
          <w:tcPr>
            <w:tcW w:w="0" w:type="auto"/>
            <w:shd w:val="clear" w:color="auto" w:fill="auto"/>
            <w:vAlign w:val="center"/>
          </w:tcPr>
          <w:p w14:paraId="3A2008B4" w14:textId="77777777" w:rsidR="00877B31" w:rsidRPr="00AA745A" w:rsidRDefault="00877B31" w:rsidP="00AA745A">
            <w:pPr>
              <w:keepNext/>
              <w:keepLines/>
              <w:jc w:val="center"/>
              <w:rPr>
                <w:rFonts w:ascii="Arial" w:hAnsi="Arial" w:cs="Arial"/>
                <w:sz w:val="20"/>
                <w:szCs w:val="20"/>
              </w:rPr>
            </w:pPr>
            <w:r w:rsidRPr="00AA745A">
              <w:rPr>
                <w:rFonts w:ascii="Arial" w:hAnsi="Arial" w:cs="Arial"/>
                <w:i/>
                <w:sz w:val="20"/>
                <w:szCs w:val="20"/>
              </w:rPr>
              <w:t>MONTH</w:t>
            </w:r>
            <w:r w:rsidRPr="00AA745A">
              <w:rPr>
                <w:rFonts w:ascii="Arial" w:hAnsi="Arial" w:cs="Arial"/>
                <w:i/>
                <w:sz w:val="20"/>
                <w:szCs w:val="20"/>
                <w:vertAlign w:val="subscript"/>
              </w:rPr>
              <w:t>i,t</w:t>
            </w:r>
          </w:p>
        </w:tc>
        <w:tc>
          <w:tcPr>
            <w:tcW w:w="0" w:type="auto"/>
            <w:shd w:val="clear" w:color="auto" w:fill="auto"/>
            <w:vAlign w:val="center"/>
          </w:tcPr>
          <w:p w14:paraId="79FAADD9"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 xml:space="preserve">a series of dummy variables for each month </w:t>
            </w:r>
          </w:p>
        </w:tc>
      </w:tr>
      <w:tr w:rsidR="00877B31" w14:paraId="407E1F3E" w14:textId="77777777" w:rsidTr="00AA745A">
        <w:trPr>
          <w:jc w:val="center"/>
        </w:trPr>
        <w:tc>
          <w:tcPr>
            <w:tcW w:w="0" w:type="auto"/>
            <w:shd w:val="clear" w:color="auto" w:fill="auto"/>
            <w:vAlign w:val="center"/>
          </w:tcPr>
          <w:p w14:paraId="28673F6E" w14:textId="77777777" w:rsidR="00877B31" w:rsidRPr="00AA745A" w:rsidRDefault="00877B31" w:rsidP="00AA745A">
            <w:pPr>
              <w:keepNext/>
              <w:keepLines/>
              <w:jc w:val="center"/>
              <w:rPr>
                <w:rFonts w:ascii="Arial" w:hAnsi="Arial" w:cs="Arial"/>
                <w:sz w:val="20"/>
                <w:szCs w:val="20"/>
              </w:rPr>
            </w:pPr>
            <w:r w:rsidRPr="00AA745A">
              <w:rPr>
                <w:rFonts w:ascii="Arial" w:hAnsi="Arial" w:cs="Arial"/>
                <w:i/>
                <w:sz w:val="20"/>
                <w:szCs w:val="20"/>
              </w:rPr>
              <w:t>e</w:t>
            </w:r>
            <w:r w:rsidRPr="00AA745A">
              <w:rPr>
                <w:rFonts w:ascii="Arial" w:hAnsi="Arial" w:cs="Arial"/>
                <w:i/>
                <w:sz w:val="20"/>
                <w:szCs w:val="20"/>
                <w:vertAlign w:val="subscript"/>
              </w:rPr>
              <w:t>t</w:t>
            </w:r>
          </w:p>
        </w:tc>
        <w:tc>
          <w:tcPr>
            <w:tcW w:w="0" w:type="auto"/>
            <w:shd w:val="clear" w:color="auto" w:fill="auto"/>
            <w:vAlign w:val="center"/>
          </w:tcPr>
          <w:p w14:paraId="1BF927F2"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the error term.</w:t>
            </w:r>
          </w:p>
        </w:tc>
      </w:tr>
    </w:tbl>
    <w:p w14:paraId="41816D6F" w14:textId="77777777" w:rsidR="00E92D52" w:rsidRDefault="00E92D52" w:rsidP="00E92D52"/>
    <w:p w14:paraId="1D5001FC" w14:textId="790BB630" w:rsidR="00321E09" w:rsidRDefault="002459F5" w:rsidP="00B81672">
      <w:r>
        <w:t xml:space="preserve">The </w:t>
      </w:r>
      <w:r w:rsidRPr="002459F5">
        <w:rPr>
          <w:i/>
        </w:rPr>
        <w:t>OtherEvt</w:t>
      </w:r>
      <w:r>
        <w:t xml:space="preserve"> variables help the model explain load changes that occur on event days for programs in which the DBP customers are dually enrolled. (In the absence of these variables, any load reductions that occur on such days may be falsely attributed to other included variables, such as weather condition or day</w:t>
      </w:r>
      <w:r w:rsidR="002B3A3B">
        <w:t>-</w:t>
      </w:r>
      <w:r>
        <w:t>type variables.) The “morning load” variables are included in the same spirit as the day-of adjustment to the 10-in-10 baseline settlement method. T</w:t>
      </w:r>
      <w:r w:rsidR="006D3A77">
        <w:t xml:space="preserve">hat is, those variables help adjust the reference loads (or the loads that would have been observed in the absence of an event) for factors that affect pre-event usage, but are not accounted for by the other included variables. </w:t>
      </w:r>
    </w:p>
    <w:p w14:paraId="2168DF0A" w14:textId="77777777" w:rsidR="00877B31" w:rsidRDefault="00877B31" w:rsidP="00B81672"/>
    <w:p w14:paraId="4F4148D7" w14:textId="5B9E3CED" w:rsidR="00877B31" w:rsidRDefault="00877B31" w:rsidP="00B81672">
      <w:r>
        <w:t xml:space="preserve">The model allows for the hourly load profile to differ by: day of week, with separate profiles for Monday, Tuesday through Thursday, and Friday; and </w:t>
      </w:r>
      <w:r w:rsidR="002B0E14">
        <w:t xml:space="preserve">by pricing season (i.e., summer versus </w:t>
      </w:r>
      <w:r w:rsidR="00D051DC">
        <w:t>winter</w:t>
      </w:r>
      <w:r w:rsidR="002B0E14">
        <w:t xml:space="preserve">), in order to account for </w:t>
      </w:r>
      <w:r w:rsidR="0020029B">
        <w:t xml:space="preserve">potential </w:t>
      </w:r>
      <w:r w:rsidR="002B0E14">
        <w:t>customer load changes in response to seasonal changes</w:t>
      </w:r>
      <w:r w:rsidR="0020029B">
        <w:t xml:space="preserve"> in rates</w:t>
      </w:r>
      <w:r>
        <w:t>.</w:t>
      </w:r>
    </w:p>
    <w:p w14:paraId="16944184" w14:textId="77777777" w:rsidR="00C11C07" w:rsidRDefault="00C11C07" w:rsidP="00B81672"/>
    <w:p w14:paraId="50A21D86" w14:textId="77777777" w:rsidR="00321E09" w:rsidRDefault="00321E09" w:rsidP="00C21781">
      <w:r>
        <w:t xml:space="preserve">Separate models were estimated for each customer. The load impacts were aggregated across customer accounts as appropriate to arrive at program-level load impacts, as well as load impacts by industry group and local capacity area (LCA). </w:t>
      </w:r>
    </w:p>
    <w:p w14:paraId="76537CD6" w14:textId="77777777" w:rsidR="00321E09" w:rsidRPr="00146E50" w:rsidRDefault="00321E09" w:rsidP="00146E50">
      <w:pPr>
        <w:pStyle w:val="Heading3"/>
        <w:rPr>
          <w:sz w:val="22"/>
          <w:szCs w:val="22"/>
        </w:rPr>
      </w:pPr>
      <w:bookmarkStart w:id="93" w:name="OLE_LINK3"/>
      <w:bookmarkStart w:id="94" w:name="OLE_LINK4"/>
      <w:bookmarkStart w:id="95" w:name="_Toc415761822"/>
      <w:r>
        <w:rPr>
          <w:sz w:val="22"/>
          <w:szCs w:val="22"/>
        </w:rPr>
        <w:t>3</w:t>
      </w:r>
      <w:r w:rsidRPr="00146E50">
        <w:rPr>
          <w:sz w:val="22"/>
          <w:szCs w:val="22"/>
        </w:rPr>
        <w:t>.2.</w:t>
      </w:r>
      <w:r>
        <w:rPr>
          <w:sz w:val="22"/>
          <w:szCs w:val="22"/>
        </w:rPr>
        <w:t>2</w:t>
      </w:r>
      <w:r w:rsidRPr="00146E50">
        <w:rPr>
          <w:sz w:val="22"/>
          <w:szCs w:val="22"/>
        </w:rPr>
        <w:t xml:space="preserve"> Development of Uncertainty-Adjusted Load Impacts</w:t>
      </w:r>
      <w:bookmarkEnd w:id="95"/>
    </w:p>
    <w:bookmarkEnd w:id="93"/>
    <w:bookmarkEnd w:id="94"/>
    <w:p w14:paraId="7BE911CE" w14:textId="23FCA639" w:rsidR="00321E09" w:rsidRDefault="00321E09" w:rsidP="00C40131">
      <w:r>
        <w:t xml:space="preserve">The Load Impact Protocols require the estimation of uncertainty-adjusted load impacts. In the case of </w:t>
      </w:r>
      <w:r w:rsidR="00933F01" w:rsidRPr="00933F01">
        <w:rPr>
          <w:i/>
        </w:rPr>
        <w:t>ex-post</w:t>
      </w:r>
      <w:r>
        <w:t xml:space="preserve"> load impacts, the parameters that constitute the load impact estimates are not estimated with certainty. We base the uncertainty-adjusted load impacts on the variances associated with the estimated load impact coefficients.  </w:t>
      </w:r>
    </w:p>
    <w:p w14:paraId="375CF39D" w14:textId="77777777" w:rsidR="00321E09" w:rsidRDefault="00321E09" w:rsidP="00C40131"/>
    <w:p w14:paraId="03FA978B" w14:textId="77777777" w:rsidR="00321E09" w:rsidRDefault="00321E09" w:rsidP="008943AD">
      <w:r>
        <w:lastRenderedPageBreak/>
        <w:t>Specifically, we added the variances of the estimated load impacts across the customers who submit a bid for the event in question. These aggregations were performed at either the program level, by industry group, or by LCA, as appropriate. The uncertainty-adjusted scenarios were then simulated under the assumption that each hour’s load impact is normally distributed with the mean equal to the sum of the estimated load impacts and the standard deviation equal to the square root of the sum of the variances of the errors around the estimates of the load impacts. Results for the 10</w:t>
      </w:r>
      <w:r w:rsidRPr="00B81672">
        <w:rPr>
          <w:vertAlign w:val="superscript"/>
        </w:rPr>
        <w:t>th</w:t>
      </w:r>
      <w:r>
        <w:t>, 30</w:t>
      </w:r>
      <w:r w:rsidRPr="00B81672">
        <w:rPr>
          <w:vertAlign w:val="superscript"/>
        </w:rPr>
        <w:t>th</w:t>
      </w:r>
      <w:r>
        <w:t>, 70</w:t>
      </w:r>
      <w:r w:rsidRPr="00B81672">
        <w:rPr>
          <w:vertAlign w:val="superscript"/>
        </w:rPr>
        <w:t>th</w:t>
      </w:r>
      <w:r>
        <w:t>, and 90</w:t>
      </w:r>
      <w:r w:rsidRPr="00B81672">
        <w:rPr>
          <w:vertAlign w:val="superscript"/>
        </w:rPr>
        <w:t>th</w:t>
      </w:r>
      <w:r>
        <w:t xml:space="preserve"> percentile scenarios are generated from these distributions. </w:t>
      </w:r>
    </w:p>
    <w:p w14:paraId="21B49574" w14:textId="77777777" w:rsidR="002760E7" w:rsidRDefault="002760E7" w:rsidP="008943AD"/>
    <w:p w14:paraId="27D64AD9" w14:textId="5489F9E8" w:rsidR="002760E7" w:rsidRDefault="000A44DF" w:rsidP="008943AD">
      <w:r>
        <w:t xml:space="preserve">In order to develop the uncertainty-adjusted load impacts associated with the </w:t>
      </w:r>
      <w:r w:rsidRPr="005A3C8C">
        <w:rPr>
          <w:i/>
        </w:rPr>
        <w:t>average</w:t>
      </w:r>
      <w:r>
        <w:t xml:space="preserve"> event hour (</w:t>
      </w:r>
      <w:r>
        <w:rPr>
          <w:i/>
        </w:rPr>
        <w:t>i.e.</w:t>
      </w:r>
      <w:r>
        <w:t xml:space="preserve">, the bottom rows in the tables produced by the </w:t>
      </w:r>
      <w:r w:rsidRPr="005A3C8C">
        <w:rPr>
          <w:i/>
        </w:rPr>
        <w:t>ex-post</w:t>
      </w:r>
      <w:r>
        <w:t xml:space="preserve"> table generator), we estimated two additional sets of customer-specific regression models. In the first model, we estimated the average event-hour load impact for </w:t>
      </w:r>
      <w:r w:rsidRPr="00A7002F">
        <w:rPr>
          <w:i/>
        </w:rPr>
        <w:t>each</w:t>
      </w:r>
      <w:r>
        <w:t xml:space="preserve"> event-day, by using a single event variable (rather than the hour-specific variables used in the primary model described above). The standard errors associated with these event-specific coefficients serve as the basis of the average event-hour uncertainty-adjusted load impacts for each </w:t>
      </w:r>
      <w:r>
        <w:rPr>
          <w:i/>
        </w:rPr>
        <w:t>ex-post</w:t>
      </w:r>
      <w:r>
        <w:t xml:space="preserve"> event day, which are shown on the last row of event-specific tables. The second model includes a single event-hour variable that applies to </w:t>
      </w:r>
      <w:r w:rsidRPr="005A3C8C">
        <w:rPr>
          <w:i/>
        </w:rPr>
        <w:t>all</w:t>
      </w:r>
      <w:r>
        <w:t xml:space="preserve"> event hours of the typical (or average) event day during the program year. The standard error associated with this estimate serves as the basis of the average event-hour uncertainty-adjusted load impacts for the typical </w:t>
      </w:r>
      <w:r>
        <w:rPr>
          <w:i/>
        </w:rPr>
        <w:t>ex-post</w:t>
      </w:r>
      <w:r>
        <w:t xml:space="preserve"> event day.</w:t>
      </w:r>
      <w:r>
        <w:rPr>
          <w:rStyle w:val="FootnoteReference"/>
        </w:rPr>
        <w:footnoteReference w:id="11"/>
      </w:r>
      <w:r>
        <w:t xml:space="preserve"> In each case, the standard errors are used to develop the uncertainty-adjusted scenarios in the same manner as the hour-specific standard errors in the primary model. These values are shown in the bottom row of the table for the typical event day.</w:t>
      </w:r>
      <w:r w:rsidR="002760E7">
        <w:rPr>
          <w:rFonts w:ascii="Times New Roman" w:hAnsi="Times New Roman"/>
        </w:rPr>
        <w:t xml:space="preserve"> </w:t>
      </w:r>
    </w:p>
    <w:p w14:paraId="3F946A3D" w14:textId="77777777" w:rsidR="00321E09" w:rsidRDefault="00321E09" w:rsidP="008943AD">
      <w:pPr>
        <w:pStyle w:val="Heading1"/>
      </w:pPr>
      <w:bookmarkStart w:id="96" w:name="_Toc415761823"/>
      <w:r>
        <w:t>4</w:t>
      </w:r>
      <w:r w:rsidRPr="00146E50">
        <w:t>. Detailed Study Findings</w:t>
      </w:r>
      <w:bookmarkEnd w:id="96"/>
    </w:p>
    <w:p w14:paraId="3BBC8F96" w14:textId="68F49705" w:rsidR="00321E09" w:rsidRDefault="00321E09" w:rsidP="00D27021">
      <w:r>
        <w:t xml:space="preserve">The primary objective of the </w:t>
      </w:r>
      <w:r w:rsidR="00933F01" w:rsidRPr="00933F01">
        <w:rPr>
          <w:i/>
        </w:rPr>
        <w:t>ex-post</w:t>
      </w:r>
      <w:r>
        <w:t xml:space="preserve"> evaluation is to estimate the aggregate </w:t>
      </w:r>
      <w:r w:rsidRPr="00747186">
        <w:t>and per-customer</w:t>
      </w:r>
      <w:r>
        <w:t xml:space="preserve"> DBP event-day load impacts for each </w:t>
      </w:r>
      <w:r w:rsidR="00D051DC">
        <w:t>IOU</w:t>
      </w:r>
      <w:r>
        <w:t xml:space="preserve">. In this section we first summarize the estimated DBP load impacts for </w:t>
      </w:r>
      <w:r w:rsidR="00871568">
        <w:t xml:space="preserve">each of the </w:t>
      </w:r>
      <w:r w:rsidR="00D051DC">
        <w:t>IOUs</w:t>
      </w:r>
      <w:r>
        <w:t xml:space="preserve"> using a metric of estimated </w:t>
      </w:r>
      <w:r w:rsidRPr="00E405C5">
        <w:rPr>
          <w:i/>
        </w:rPr>
        <w:t>average hourly load impacts</w:t>
      </w:r>
      <w:r>
        <w:t xml:space="preserve"> by event and for the average event. We also report average hourly load impacts for the average event by industry type and local capacity area. We then present tables of </w:t>
      </w:r>
      <w:r w:rsidRPr="004E0BA4">
        <w:rPr>
          <w:i/>
        </w:rPr>
        <w:t>hourly</w:t>
      </w:r>
      <w:r>
        <w:t xml:space="preserve"> load impacts for an </w:t>
      </w:r>
      <w:r w:rsidRPr="00721C6B">
        <w:rPr>
          <w:i/>
        </w:rPr>
        <w:t>average event</w:t>
      </w:r>
      <w:r>
        <w:t xml:space="preserve"> </w:t>
      </w:r>
      <w:r w:rsidRPr="00553B68">
        <w:t>(also referred to as a “typical event day”)</w:t>
      </w:r>
      <w:r>
        <w:t xml:space="preserve"> in the format required by the Load Impact Protocols adopted by the California Public Utilities Commission (CPUC) in Decision (D.) 08-04-050 (“the Protocols”), including risk-adjusted load impacts at different probability levels, and figures that illustrate the reference loads, observed loads and estimated load impacts. </w:t>
      </w:r>
      <w:r w:rsidRPr="00772AF9">
        <w:t>The section concludes with an assessment of the effects of TA/TI and AutoDR.</w:t>
      </w:r>
    </w:p>
    <w:p w14:paraId="4BDD36C6" w14:textId="77777777" w:rsidR="00321E09" w:rsidRDefault="00321E09" w:rsidP="00D27021"/>
    <w:p w14:paraId="008B1623" w14:textId="460BAB45" w:rsidR="00321E09" w:rsidRPr="00120F3A" w:rsidRDefault="00321E09" w:rsidP="00D27021">
      <w:bookmarkStart w:id="97" w:name="OLE_LINK16"/>
      <w:r w:rsidRPr="001D4F2E">
        <w:t xml:space="preserve">On a summary level, the average event-hour load impact per enrolled customer was </w:t>
      </w:r>
      <w:r w:rsidR="001D4F2E" w:rsidRPr="001D4F2E">
        <w:t>29.</w:t>
      </w:r>
      <w:r w:rsidR="007F12FE">
        <w:t>6</w:t>
      </w:r>
      <w:r w:rsidRPr="001D4F2E">
        <w:t xml:space="preserve"> kW for PG&amp;E's program</w:t>
      </w:r>
      <w:r w:rsidR="001C37C9">
        <w:t xml:space="preserve"> and</w:t>
      </w:r>
      <w:r w:rsidR="00AE04B6" w:rsidRPr="001D4F2E">
        <w:t xml:space="preserve"> </w:t>
      </w:r>
      <w:r w:rsidR="001D4F2E" w:rsidRPr="001D4F2E">
        <w:t>124.7</w:t>
      </w:r>
      <w:r w:rsidRPr="001D4F2E">
        <w:t xml:space="preserve"> kW for SCE's program</w:t>
      </w:r>
      <w:r w:rsidRPr="00255FA2">
        <w:t>.</w:t>
      </w:r>
      <w:bookmarkEnd w:id="97"/>
    </w:p>
    <w:p w14:paraId="72DCE5C6" w14:textId="77777777" w:rsidR="00321E09" w:rsidRDefault="00321E09" w:rsidP="008943AD">
      <w:pPr>
        <w:pStyle w:val="Heading2"/>
      </w:pPr>
      <w:bookmarkStart w:id="98" w:name="_Toc415761824"/>
      <w:r w:rsidRPr="00120F3A">
        <w:lastRenderedPageBreak/>
        <w:t>4</w:t>
      </w:r>
      <w:r>
        <w:t>.1 PG&amp;E Load Impacts</w:t>
      </w:r>
      <w:bookmarkEnd w:id="98"/>
    </w:p>
    <w:p w14:paraId="1F67CB74" w14:textId="515949CB" w:rsidR="00321E09" w:rsidRPr="00146E50" w:rsidRDefault="00321E09" w:rsidP="00BB7A34">
      <w:pPr>
        <w:pStyle w:val="Heading3"/>
        <w:rPr>
          <w:sz w:val="22"/>
          <w:szCs w:val="22"/>
        </w:rPr>
      </w:pPr>
      <w:bookmarkStart w:id="99" w:name="_Toc415761825"/>
      <w:r>
        <w:rPr>
          <w:sz w:val="22"/>
          <w:szCs w:val="22"/>
        </w:rPr>
        <w:t xml:space="preserve">4.1.1 </w:t>
      </w:r>
      <w:r w:rsidRPr="00146E50">
        <w:rPr>
          <w:sz w:val="22"/>
          <w:szCs w:val="22"/>
        </w:rPr>
        <w:t xml:space="preserve">Average </w:t>
      </w:r>
      <w:r w:rsidR="002B3A3B">
        <w:rPr>
          <w:sz w:val="22"/>
          <w:szCs w:val="22"/>
        </w:rPr>
        <w:t>Event-</w:t>
      </w:r>
      <w:r w:rsidRPr="00146E50">
        <w:rPr>
          <w:sz w:val="22"/>
          <w:szCs w:val="22"/>
        </w:rPr>
        <w:t>Hour Load Impacts by Industry Group and LCA</w:t>
      </w:r>
      <w:bookmarkEnd w:id="99"/>
    </w:p>
    <w:p w14:paraId="6BF4DD28" w14:textId="033790F3" w:rsidR="00F02657" w:rsidRPr="009F594B" w:rsidRDefault="00F02657" w:rsidP="00F02657">
      <w:r>
        <w:t xml:space="preserve">Table 4.1 summarizes average </w:t>
      </w:r>
      <w:r w:rsidR="002B3A3B">
        <w:t>event-</w:t>
      </w:r>
      <w:r>
        <w:t>hour reference loads and load impacts at the program level for each of PG&amp;E’s DBP events.</w:t>
      </w:r>
      <w:r w:rsidR="00D575C8">
        <w:t xml:space="preserve"> Results are summarized separately across all customers (in the top panel) and those who were not dually enrolled in another DR program (in the bottom panel). </w:t>
      </w:r>
      <w:r w:rsidR="002F29FA">
        <w:t>T</w:t>
      </w:r>
      <w:r>
        <w:t xml:space="preserve">he average hourly load impact </w:t>
      </w:r>
      <w:r w:rsidR="002F29FA">
        <w:t xml:space="preserve">across </w:t>
      </w:r>
      <w:r w:rsidR="00FE6FE4">
        <w:t xml:space="preserve">the </w:t>
      </w:r>
      <w:r w:rsidR="002F29FA">
        <w:t>events</w:t>
      </w:r>
      <w:r w:rsidR="007C1AC7">
        <w:t xml:space="preserve"> during which all DBP customers were called (</w:t>
      </w:r>
      <w:r w:rsidR="00F466D5">
        <w:t>excluding the 5/14</w:t>
      </w:r>
      <w:r w:rsidR="007C1AC7">
        <w:t>, 7/</w:t>
      </w:r>
      <w:r w:rsidR="00F466D5">
        <w:t>14</w:t>
      </w:r>
      <w:r w:rsidR="007C1AC7">
        <w:t>, and 9/</w:t>
      </w:r>
      <w:r w:rsidR="00F466D5">
        <w:t>12 event days</w:t>
      </w:r>
      <w:r w:rsidR="007C1AC7">
        <w:t>)</w:t>
      </w:r>
      <w:r w:rsidR="002F29FA">
        <w:t xml:space="preserve"> </w:t>
      </w:r>
      <w:r>
        <w:t xml:space="preserve">was </w:t>
      </w:r>
      <w:r w:rsidR="00F466D5">
        <w:t>2</w:t>
      </w:r>
      <w:r w:rsidR="00261E0A">
        <w:t>5</w:t>
      </w:r>
      <w:r w:rsidR="009D37CF">
        <w:t xml:space="preserve"> </w:t>
      </w:r>
      <w:r w:rsidR="002F29FA">
        <w:t>MW</w:t>
      </w:r>
      <w:r w:rsidR="009D37CF">
        <w:t xml:space="preserve">, or an average of </w:t>
      </w:r>
      <w:r w:rsidR="00F466D5">
        <w:t>3</w:t>
      </w:r>
      <w:r w:rsidR="009D37CF">
        <w:t>.</w:t>
      </w:r>
      <w:r w:rsidR="00F466D5">
        <w:t>8</w:t>
      </w:r>
      <w:r w:rsidR="009D37CF">
        <w:t xml:space="preserve"> </w:t>
      </w:r>
      <w:r>
        <w:t>percent of the total reference load.</w:t>
      </w:r>
      <w:r w:rsidR="009D37CF">
        <w:t xml:space="preserve"> The load impacts were </w:t>
      </w:r>
      <w:r w:rsidR="00FE6FE4">
        <w:t xml:space="preserve">highest </w:t>
      </w:r>
      <w:r w:rsidR="009D37CF">
        <w:t xml:space="preserve">during the </w:t>
      </w:r>
      <w:r w:rsidR="007C1AC7">
        <w:t>Ju</w:t>
      </w:r>
      <w:r w:rsidR="00F466D5">
        <w:t>ne</w:t>
      </w:r>
      <w:r w:rsidR="007C1AC7">
        <w:t xml:space="preserve"> </w:t>
      </w:r>
      <w:r w:rsidR="00F466D5">
        <w:t>30</w:t>
      </w:r>
      <w:r w:rsidR="00F466D5" w:rsidRPr="00F466D5">
        <w:rPr>
          <w:vertAlign w:val="superscript"/>
        </w:rPr>
        <w:t>th</w:t>
      </w:r>
      <w:r w:rsidR="00F466D5">
        <w:t xml:space="preserve"> </w:t>
      </w:r>
      <w:r w:rsidR="009D37CF">
        <w:t xml:space="preserve">event, at </w:t>
      </w:r>
      <w:r w:rsidR="00F466D5">
        <w:t>39</w:t>
      </w:r>
      <w:r w:rsidR="009D37CF">
        <w:t>.</w:t>
      </w:r>
      <w:r w:rsidR="007C1AC7">
        <w:t>6</w:t>
      </w:r>
      <w:r w:rsidR="009D37CF">
        <w:t xml:space="preserve"> MW (</w:t>
      </w:r>
      <w:r w:rsidR="00F466D5">
        <w:t>6</w:t>
      </w:r>
      <w:r w:rsidR="009D37CF">
        <w:t>.</w:t>
      </w:r>
      <w:r w:rsidR="007C1AC7">
        <w:t>2</w:t>
      </w:r>
      <w:r w:rsidR="009D37CF">
        <w:t xml:space="preserve"> percent of the reference load)</w:t>
      </w:r>
      <w:r w:rsidR="00D575C8">
        <w:t>. The vast majority of the load impacts came from customers who were dually enrolled in another DR program</w:t>
      </w:r>
      <w:r w:rsidR="00D051DC">
        <w:t xml:space="preserve"> and</w:t>
      </w:r>
      <w:r w:rsidR="00F466D5">
        <w:t xml:space="preserve"> accounted for all but 0.9 MW of the average load impact on a typical event day</w:t>
      </w:r>
      <w:r w:rsidR="00D575C8">
        <w:t>.</w:t>
      </w:r>
      <w:r w:rsidR="00530476">
        <w:t xml:space="preserve"> </w:t>
      </w:r>
      <w:r w:rsidR="00A54F76">
        <w:t xml:space="preserve">Note that some </w:t>
      </w:r>
      <w:r w:rsidR="00A54F76" w:rsidRPr="00C749DA">
        <w:t>results have been removed due to confidentiality concerns.</w:t>
      </w:r>
    </w:p>
    <w:p w14:paraId="2BD53454" w14:textId="77777777" w:rsidR="00F02657" w:rsidRDefault="00F02657" w:rsidP="00F02657"/>
    <w:p w14:paraId="2D454A77" w14:textId="068E85DD" w:rsidR="00413FAA" w:rsidRPr="00852320" w:rsidRDefault="00413FAA" w:rsidP="00413FAA">
      <w:pPr>
        <w:pStyle w:val="TableCaption"/>
        <w:keepNext/>
        <w:keepLines/>
      </w:pPr>
      <w:bookmarkStart w:id="100" w:name="_Toc415761874"/>
      <w:r w:rsidRPr="00852320">
        <w:t>Table 4.</w:t>
      </w:r>
      <w:r w:rsidR="00F02657" w:rsidRPr="00852320">
        <w:t>1</w:t>
      </w:r>
      <w:r w:rsidRPr="00852320">
        <w:t xml:space="preserve">: Average </w:t>
      </w:r>
      <w:r w:rsidR="002B3A3B">
        <w:t>Event-</w:t>
      </w:r>
      <w:r w:rsidRPr="00852320">
        <w:t xml:space="preserve">Hour Load Impacts by Event, </w:t>
      </w:r>
      <w:r w:rsidRPr="00852320">
        <w:rPr>
          <w:i/>
        </w:rPr>
        <w:t>PG&amp;E</w:t>
      </w:r>
      <w:bookmarkEnd w:id="10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761"/>
        <w:gridCol w:w="1106"/>
        <w:gridCol w:w="1276"/>
        <w:gridCol w:w="1227"/>
        <w:gridCol w:w="1161"/>
        <w:gridCol w:w="1208"/>
        <w:gridCol w:w="672"/>
      </w:tblGrid>
      <w:tr w:rsidR="00F54A8F" w14:paraId="2382F5BA" w14:textId="77777777" w:rsidTr="00FF7D13">
        <w:trPr>
          <w:jc w:val="center"/>
        </w:trPr>
        <w:tc>
          <w:tcPr>
            <w:tcW w:w="1219" w:type="dxa"/>
            <w:shd w:val="clear" w:color="auto" w:fill="D9E2F3"/>
            <w:vAlign w:val="center"/>
          </w:tcPr>
          <w:p w14:paraId="564689CD" w14:textId="77777777" w:rsidR="0058386F" w:rsidRPr="007E0A27" w:rsidRDefault="0058386F" w:rsidP="001753F1">
            <w:pPr>
              <w:keepNext/>
              <w:keepLines/>
              <w:jc w:val="center"/>
              <w:rPr>
                <w:rFonts w:ascii="Arial" w:hAnsi="Arial" w:cs="Arial"/>
                <w:b/>
                <w:sz w:val="20"/>
                <w:szCs w:val="20"/>
              </w:rPr>
            </w:pPr>
            <w:r>
              <w:rPr>
                <w:rFonts w:ascii="Arial" w:hAnsi="Arial" w:cs="Arial"/>
                <w:b/>
                <w:sz w:val="20"/>
                <w:szCs w:val="20"/>
              </w:rPr>
              <w:t>Customer Group</w:t>
            </w:r>
          </w:p>
        </w:tc>
        <w:tc>
          <w:tcPr>
            <w:tcW w:w="761" w:type="dxa"/>
            <w:shd w:val="clear" w:color="auto" w:fill="D9E2F3"/>
            <w:vAlign w:val="center"/>
          </w:tcPr>
          <w:p w14:paraId="6B215DC1"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Event</w:t>
            </w:r>
          </w:p>
        </w:tc>
        <w:tc>
          <w:tcPr>
            <w:tcW w:w="0" w:type="auto"/>
            <w:shd w:val="clear" w:color="auto" w:fill="D9E2F3"/>
            <w:vAlign w:val="center"/>
          </w:tcPr>
          <w:p w14:paraId="7A169E9C"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Date</w:t>
            </w:r>
          </w:p>
        </w:tc>
        <w:tc>
          <w:tcPr>
            <w:tcW w:w="0" w:type="auto"/>
            <w:shd w:val="clear" w:color="auto" w:fill="D9E2F3"/>
            <w:vAlign w:val="center"/>
          </w:tcPr>
          <w:p w14:paraId="50CFBD48"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Day of Week</w:t>
            </w:r>
          </w:p>
        </w:tc>
        <w:tc>
          <w:tcPr>
            <w:tcW w:w="0" w:type="auto"/>
            <w:shd w:val="clear" w:color="auto" w:fill="D9E2F3"/>
            <w:vAlign w:val="center"/>
          </w:tcPr>
          <w:p w14:paraId="4C9D61AD"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4CB9009D"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Observed Load (MW)</w:t>
            </w:r>
          </w:p>
        </w:tc>
        <w:tc>
          <w:tcPr>
            <w:tcW w:w="0" w:type="auto"/>
            <w:shd w:val="clear" w:color="auto" w:fill="D9E2F3"/>
            <w:vAlign w:val="center"/>
          </w:tcPr>
          <w:p w14:paraId="70596DE9"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31DA6C8C"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 LI</w:t>
            </w:r>
          </w:p>
        </w:tc>
      </w:tr>
      <w:tr w:rsidR="00F54A8F" w14:paraId="7DF5F915" w14:textId="77777777" w:rsidTr="00FF7D13">
        <w:trPr>
          <w:jc w:val="center"/>
        </w:trPr>
        <w:tc>
          <w:tcPr>
            <w:tcW w:w="1219" w:type="dxa"/>
            <w:vMerge w:val="restart"/>
            <w:vAlign w:val="center"/>
          </w:tcPr>
          <w:p w14:paraId="7219A341" w14:textId="77777777" w:rsidR="00B719EA" w:rsidRPr="0058386F" w:rsidRDefault="00B719EA" w:rsidP="00B719EA">
            <w:pPr>
              <w:keepNext/>
              <w:keepLines/>
              <w:jc w:val="center"/>
              <w:rPr>
                <w:rFonts w:ascii="Arial" w:hAnsi="Arial" w:cs="Arial"/>
                <w:b/>
                <w:sz w:val="20"/>
                <w:szCs w:val="20"/>
              </w:rPr>
            </w:pPr>
            <w:r w:rsidRPr="0058386F">
              <w:rPr>
                <w:rFonts w:ascii="Arial" w:hAnsi="Arial" w:cs="Arial"/>
                <w:b/>
                <w:sz w:val="20"/>
                <w:szCs w:val="20"/>
              </w:rPr>
              <w:t>All</w:t>
            </w:r>
          </w:p>
        </w:tc>
        <w:tc>
          <w:tcPr>
            <w:tcW w:w="761" w:type="dxa"/>
          </w:tcPr>
          <w:p w14:paraId="5C98E7C7" w14:textId="327870EA"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1</w:t>
            </w:r>
          </w:p>
        </w:tc>
        <w:tc>
          <w:tcPr>
            <w:tcW w:w="0" w:type="auto"/>
          </w:tcPr>
          <w:p w14:paraId="71009E2C" w14:textId="3186200B" w:rsidR="00B719EA" w:rsidRPr="00B719EA" w:rsidRDefault="00B719EA" w:rsidP="00B719EA">
            <w:pPr>
              <w:rPr>
                <w:rFonts w:ascii="Arial" w:hAnsi="Arial" w:cs="Arial"/>
                <w:color w:val="000000"/>
                <w:sz w:val="20"/>
                <w:szCs w:val="20"/>
              </w:rPr>
            </w:pPr>
            <w:r w:rsidRPr="00B719EA">
              <w:rPr>
                <w:rFonts w:ascii="Arial" w:hAnsi="Arial" w:cs="Arial"/>
                <w:sz w:val="20"/>
                <w:szCs w:val="20"/>
              </w:rPr>
              <w:t>5/14/2014</w:t>
            </w:r>
          </w:p>
        </w:tc>
        <w:tc>
          <w:tcPr>
            <w:tcW w:w="0" w:type="auto"/>
          </w:tcPr>
          <w:p w14:paraId="3FC0F8DE" w14:textId="5B93C4EF" w:rsidR="00B719EA" w:rsidRPr="00B719EA" w:rsidRDefault="00B719EA" w:rsidP="00B719EA">
            <w:pPr>
              <w:keepNext/>
              <w:keepLines/>
              <w:rPr>
                <w:rFonts w:ascii="Arial" w:hAnsi="Arial" w:cs="Arial"/>
                <w:sz w:val="20"/>
                <w:szCs w:val="20"/>
              </w:rPr>
            </w:pPr>
            <w:r w:rsidRPr="00B719EA">
              <w:rPr>
                <w:rFonts w:ascii="Arial" w:hAnsi="Arial" w:cs="Arial"/>
                <w:sz w:val="20"/>
                <w:szCs w:val="20"/>
              </w:rPr>
              <w:t>Wednesday</w:t>
            </w:r>
          </w:p>
        </w:tc>
        <w:tc>
          <w:tcPr>
            <w:tcW w:w="0" w:type="auto"/>
          </w:tcPr>
          <w:p w14:paraId="6918324A" w14:textId="0D34E969" w:rsidR="00B719EA" w:rsidRPr="00B719EA" w:rsidRDefault="00B719EA" w:rsidP="00B719EA">
            <w:pPr>
              <w:jc w:val="right"/>
              <w:rPr>
                <w:rFonts w:ascii="Arial" w:hAnsi="Arial" w:cs="Arial"/>
                <w:sz w:val="20"/>
                <w:szCs w:val="20"/>
              </w:rPr>
            </w:pPr>
            <w:r w:rsidRPr="00B719EA">
              <w:rPr>
                <w:rFonts w:ascii="Arial" w:hAnsi="Arial" w:cs="Arial"/>
                <w:sz w:val="20"/>
                <w:szCs w:val="20"/>
              </w:rPr>
              <w:t>168.6</w:t>
            </w:r>
          </w:p>
        </w:tc>
        <w:tc>
          <w:tcPr>
            <w:tcW w:w="0" w:type="auto"/>
          </w:tcPr>
          <w:p w14:paraId="604E3253" w14:textId="41EB106D" w:rsidR="00B719EA" w:rsidRPr="00B719EA" w:rsidRDefault="00B719EA" w:rsidP="00B719EA">
            <w:pPr>
              <w:jc w:val="right"/>
              <w:rPr>
                <w:rFonts w:ascii="Arial" w:hAnsi="Arial" w:cs="Arial"/>
                <w:sz w:val="20"/>
                <w:szCs w:val="20"/>
              </w:rPr>
            </w:pPr>
            <w:r w:rsidRPr="00B719EA">
              <w:rPr>
                <w:rFonts w:ascii="Arial" w:hAnsi="Arial" w:cs="Arial"/>
                <w:sz w:val="20"/>
                <w:szCs w:val="20"/>
              </w:rPr>
              <w:t>163.2</w:t>
            </w:r>
          </w:p>
        </w:tc>
        <w:tc>
          <w:tcPr>
            <w:tcW w:w="0" w:type="auto"/>
          </w:tcPr>
          <w:p w14:paraId="32ED7424" w14:textId="71E1F0AC" w:rsidR="00B719EA" w:rsidRPr="00B719EA" w:rsidRDefault="00B719EA" w:rsidP="00B719EA">
            <w:pPr>
              <w:jc w:val="right"/>
              <w:rPr>
                <w:rFonts w:ascii="Arial" w:hAnsi="Arial" w:cs="Arial"/>
                <w:sz w:val="20"/>
                <w:szCs w:val="20"/>
              </w:rPr>
            </w:pPr>
            <w:r w:rsidRPr="00B719EA">
              <w:rPr>
                <w:rFonts w:ascii="Arial" w:hAnsi="Arial" w:cs="Arial"/>
                <w:sz w:val="20"/>
                <w:szCs w:val="20"/>
              </w:rPr>
              <w:t>5.3</w:t>
            </w:r>
          </w:p>
        </w:tc>
        <w:tc>
          <w:tcPr>
            <w:tcW w:w="0" w:type="auto"/>
          </w:tcPr>
          <w:p w14:paraId="5A8D68AF" w14:textId="03DAF6D7" w:rsidR="00B719EA" w:rsidRPr="00B719EA" w:rsidRDefault="00B719EA" w:rsidP="00B719EA">
            <w:pPr>
              <w:jc w:val="right"/>
              <w:rPr>
                <w:rFonts w:ascii="Arial" w:hAnsi="Arial" w:cs="Arial"/>
                <w:sz w:val="20"/>
                <w:szCs w:val="20"/>
              </w:rPr>
            </w:pPr>
            <w:r w:rsidRPr="00B719EA">
              <w:rPr>
                <w:rFonts w:ascii="Arial" w:hAnsi="Arial" w:cs="Arial"/>
                <w:sz w:val="20"/>
                <w:szCs w:val="20"/>
              </w:rPr>
              <w:t>3.2%</w:t>
            </w:r>
          </w:p>
        </w:tc>
      </w:tr>
      <w:tr w:rsidR="00F54A8F" w14:paraId="4E9F0D8B" w14:textId="77777777" w:rsidTr="00FF7D13">
        <w:trPr>
          <w:jc w:val="center"/>
        </w:trPr>
        <w:tc>
          <w:tcPr>
            <w:tcW w:w="1219" w:type="dxa"/>
            <w:vMerge/>
            <w:vAlign w:val="center"/>
          </w:tcPr>
          <w:p w14:paraId="60618FF7" w14:textId="77777777" w:rsidR="00B719EA" w:rsidRPr="0058386F" w:rsidRDefault="00B719EA" w:rsidP="00B719EA">
            <w:pPr>
              <w:keepNext/>
              <w:keepLines/>
              <w:jc w:val="center"/>
              <w:rPr>
                <w:rFonts w:ascii="Arial" w:hAnsi="Arial" w:cs="Arial"/>
                <w:b/>
                <w:sz w:val="20"/>
                <w:szCs w:val="20"/>
              </w:rPr>
            </w:pPr>
          </w:p>
        </w:tc>
        <w:tc>
          <w:tcPr>
            <w:tcW w:w="761" w:type="dxa"/>
          </w:tcPr>
          <w:p w14:paraId="19DCE1F5" w14:textId="71BD2663"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2</w:t>
            </w:r>
          </w:p>
        </w:tc>
        <w:tc>
          <w:tcPr>
            <w:tcW w:w="0" w:type="auto"/>
          </w:tcPr>
          <w:p w14:paraId="49D524B5" w14:textId="63063179" w:rsidR="00B719EA" w:rsidRPr="00B719EA" w:rsidRDefault="00B719EA" w:rsidP="00B719EA">
            <w:pPr>
              <w:rPr>
                <w:rFonts w:ascii="Arial" w:hAnsi="Arial" w:cs="Arial"/>
                <w:color w:val="000000"/>
                <w:sz w:val="20"/>
                <w:szCs w:val="20"/>
              </w:rPr>
            </w:pPr>
            <w:r w:rsidRPr="00B719EA">
              <w:rPr>
                <w:rFonts w:ascii="Arial" w:hAnsi="Arial" w:cs="Arial"/>
                <w:sz w:val="20"/>
                <w:szCs w:val="20"/>
              </w:rPr>
              <w:t>6/30/2014</w:t>
            </w:r>
          </w:p>
        </w:tc>
        <w:tc>
          <w:tcPr>
            <w:tcW w:w="0" w:type="auto"/>
          </w:tcPr>
          <w:p w14:paraId="10EE1025" w14:textId="709B2D07" w:rsidR="00B719EA" w:rsidRPr="00B719EA" w:rsidRDefault="00B719EA" w:rsidP="00B719EA">
            <w:pPr>
              <w:keepNext/>
              <w:keepLines/>
              <w:rPr>
                <w:rFonts w:ascii="Arial" w:hAnsi="Arial" w:cs="Arial"/>
                <w:sz w:val="20"/>
                <w:szCs w:val="20"/>
              </w:rPr>
            </w:pPr>
            <w:r w:rsidRPr="00B719EA">
              <w:rPr>
                <w:rFonts w:ascii="Arial" w:hAnsi="Arial" w:cs="Arial"/>
                <w:sz w:val="20"/>
                <w:szCs w:val="20"/>
              </w:rPr>
              <w:t>Monday</w:t>
            </w:r>
          </w:p>
        </w:tc>
        <w:tc>
          <w:tcPr>
            <w:tcW w:w="0" w:type="auto"/>
          </w:tcPr>
          <w:p w14:paraId="17EE0D7F" w14:textId="023C4F6E" w:rsidR="00B719EA" w:rsidRPr="00B719EA" w:rsidRDefault="00B719EA" w:rsidP="00B719EA">
            <w:pPr>
              <w:jc w:val="right"/>
              <w:rPr>
                <w:rFonts w:ascii="Arial" w:hAnsi="Arial" w:cs="Arial"/>
                <w:sz w:val="20"/>
                <w:szCs w:val="20"/>
              </w:rPr>
            </w:pPr>
            <w:r w:rsidRPr="00B719EA">
              <w:rPr>
                <w:rFonts w:ascii="Arial" w:hAnsi="Arial" w:cs="Arial"/>
                <w:sz w:val="20"/>
                <w:szCs w:val="20"/>
              </w:rPr>
              <w:t>642.1</w:t>
            </w:r>
          </w:p>
        </w:tc>
        <w:tc>
          <w:tcPr>
            <w:tcW w:w="0" w:type="auto"/>
          </w:tcPr>
          <w:p w14:paraId="22888181" w14:textId="5EBFE0B6" w:rsidR="00B719EA" w:rsidRPr="00B719EA" w:rsidRDefault="00B719EA" w:rsidP="00B719EA">
            <w:pPr>
              <w:jc w:val="right"/>
              <w:rPr>
                <w:rFonts w:ascii="Arial" w:hAnsi="Arial" w:cs="Arial"/>
                <w:sz w:val="20"/>
                <w:szCs w:val="20"/>
              </w:rPr>
            </w:pPr>
            <w:r w:rsidRPr="00B719EA">
              <w:rPr>
                <w:rFonts w:ascii="Arial" w:hAnsi="Arial" w:cs="Arial"/>
                <w:sz w:val="20"/>
                <w:szCs w:val="20"/>
              </w:rPr>
              <w:t>602.5</w:t>
            </w:r>
          </w:p>
        </w:tc>
        <w:tc>
          <w:tcPr>
            <w:tcW w:w="0" w:type="auto"/>
          </w:tcPr>
          <w:p w14:paraId="69DCE676" w14:textId="021C9757" w:rsidR="00B719EA" w:rsidRPr="00B719EA" w:rsidRDefault="00B719EA" w:rsidP="00B719EA">
            <w:pPr>
              <w:jc w:val="right"/>
              <w:rPr>
                <w:rFonts w:ascii="Arial" w:hAnsi="Arial" w:cs="Arial"/>
                <w:sz w:val="20"/>
                <w:szCs w:val="20"/>
              </w:rPr>
            </w:pPr>
            <w:r w:rsidRPr="00B719EA">
              <w:rPr>
                <w:rFonts w:ascii="Arial" w:hAnsi="Arial" w:cs="Arial"/>
                <w:sz w:val="20"/>
                <w:szCs w:val="20"/>
              </w:rPr>
              <w:t>39.6</w:t>
            </w:r>
          </w:p>
        </w:tc>
        <w:tc>
          <w:tcPr>
            <w:tcW w:w="0" w:type="auto"/>
          </w:tcPr>
          <w:p w14:paraId="5A822A56" w14:textId="1DE69A55" w:rsidR="00B719EA" w:rsidRPr="00B719EA" w:rsidRDefault="00B719EA" w:rsidP="00B719EA">
            <w:pPr>
              <w:jc w:val="right"/>
              <w:rPr>
                <w:rFonts w:ascii="Arial" w:hAnsi="Arial" w:cs="Arial"/>
                <w:sz w:val="20"/>
                <w:szCs w:val="20"/>
              </w:rPr>
            </w:pPr>
            <w:r w:rsidRPr="00B719EA">
              <w:rPr>
                <w:rFonts w:ascii="Arial" w:hAnsi="Arial" w:cs="Arial"/>
                <w:sz w:val="20"/>
                <w:szCs w:val="20"/>
              </w:rPr>
              <w:t>6.2%</w:t>
            </w:r>
          </w:p>
        </w:tc>
      </w:tr>
      <w:tr w:rsidR="00F54A8F" w14:paraId="749181AE" w14:textId="77777777" w:rsidTr="00FF7D13">
        <w:trPr>
          <w:jc w:val="center"/>
        </w:trPr>
        <w:tc>
          <w:tcPr>
            <w:tcW w:w="1219" w:type="dxa"/>
            <w:vMerge/>
            <w:vAlign w:val="center"/>
          </w:tcPr>
          <w:p w14:paraId="46D76157" w14:textId="77777777" w:rsidR="00B719EA" w:rsidRPr="0058386F" w:rsidRDefault="00B719EA" w:rsidP="00B719EA">
            <w:pPr>
              <w:keepNext/>
              <w:keepLines/>
              <w:jc w:val="center"/>
              <w:rPr>
                <w:rFonts w:ascii="Arial" w:hAnsi="Arial" w:cs="Arial"/>
                <w:b/>
                <w:sz w:val="20"/>
                <w:szCs w:val="20"/>
              </w:rPr>
            </w:pPr>
          </w:p>
        </w:tc>
        <w:tc>
          <w:tcPr>
            <w:tcW w:w="761" w:type="dxa"/>
          </w:tcPr>
          <w:p w14:paraId="4FBE2A42" w14:textId="0E1050B2"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3</w:t>
            </w:r>
          </w:p>
        </w:tc>
        <w:tc>
          <w:tcPr>
            <w:tcW w:w="0" w:type="auto"/>
          </w:tcPr>
          <w:p w14:paraId="4D681625" w14:textId="1596113A" w:rsidR="00B719EA" w:rsidRPr="00B719EA" w:rsidRDefault="00B719EA" w:rsidP="00B719EA">
            <w:pPr>
              <w:rPr>
                <w:rFonts w:ascii="Arial" w:hAnsi="Arial" w:cs="Arial"/>
                <w:color w:val="000000"/>
                <w:sz w:val="20"/>
                <w:szCs w:val="20"/>
              </w:rPr>
            </w:pPr>
            <w:r w:rsidRPr="00B719EA">
              <w:rPr>
                <w:rFonts w:ascii="Arial" w:hAnsi="Arial" w:cs="Arial"/>
                <w:sz w:val="20"/>
                <w:szCs w:val="20"/>
              </w:rPr>
              <w:t>7/7/2014</w:t>
            </w:r>
          </w:p>
        </w:tc>
        <w:tc>
          <w:tcPr>
            <w:tcW w:w="0" w:type="auto"/>
          </w:tcPr>
          <w:p w14:paraId="2D26600F" w14:textId="0F162BE2" w:rsidR="00B719EA" w:rsidRPr="00B719EA" w:rsidRDefault="00B719EA" w:rsidP="00B719EA">
            <w:pPr>
              <w:keepNext/>
              <w:keepLines/>
              <w:rPr>
                <w:rFonts w:ascii="Arial" w:hAnsi="Arial" w:cs="Arial"/>
                <w:sz w:val="20"/>
                <w:szCs w:val="20"/>
              </w:rPr>
            </w:pPr>
            <w:r w:rsidRPr="00B719EA">
              <w:rPr>
                <w:rFonts w:ascii="Arial" w:hAnsi="Arial" w:cs="Arial"/>
                <w:sz w:val="20"/>
                <w:szCs w:val="20"/>
              </w:rPr>
              <w:t>Monday</w:t>
            </w:r>
          </w:p>
        </w:tc>
        <w:tc>
          <w:tcPr>
            <w:tcW w:w="0" w:type="auto"/>
          </w:tcPr>
          <w:p w14:paraId="343FF864" w14:textId="32BB6B6D" w:rsidR="00B719EA" w:rsidRPr="00B719EA" w:rsidRDefault="00B719EA" w:rsidP="00B719EA">
            <w:pPr>
              <w:jc w:val="right"/>
              <w:rPr>
                <w:rFonts w:ascii="Arial" w:hAnsi="Arial" w:cs="Arial"/>
                <w:sz w:val="20"/>
                <w:szCs w:val="20"/>
              </w:rPr>
            </w:pPr>
            <w:r w:rsidRPr="00B719EA">
              <w:rPr>
                <w:rFonts w:ascii="Arial" w:hAnsi="Arial" w:cs="Arial"/>
                <w:sz w:val="20"/>
                <w:szCs w:val="20"/>
              </w:rPr>
              <w:t>619.8</w:t>
            </w:r>
          </w:p>
        </w:tc>
        <w:tc>
          <w:tcPr>
            <w:tcW w:w="0" w:type="auto"/>
          </w:tcPr>
          <w:p w14:paraId="1528DF1C" w14:textId="5B14F615" w:rsidR="00B719EA" w:rsidRPr="00B719EA" w:rsidRDefault="00B719EA" w:rsidP="00B719EA">
            <w:pPr>
              <w:jc w:val="right"/>
              <w:rPr>
                <w:rFonts w:ascii="Arial" w:hAnsi="Arial" w:cs="Arial"/>
                <w:sz w:val="20"/>
                <w:szCs w:val="20"/>
              </w:rPr>
            </w:pPr>
            <w:r w:rsidRPr="00B719EA">
              <w:rPr>
                <w:rFonts w:ascii="Arial" w:hAnsi="Arial" w:cs="Arial"/>
                <w:sz w:val="20"/>
                <w:szCs w:val="20"/>
              </w:rPr>
              <w:t>604.1</w:t>
            </w:r>
          </w:p>
        </w:tc>
        <w:tc>
          <w:tcPr>
            <w:tcW w:w="0" w:type="auto"/>
          </w:tcPr>
          <w:p w14:paraId="5C03F349" w14:textId="4E317A64" w:rsidR="00B719EA" w:rsidRPr="00B719EA" w:rsidRDefault="00B719EA" w:rsidP="00B719EA">
            <w:pPr>
              <w:jc w:val="right"/>
              <w:rPr>
                <w:rFonts w:ascii="Arial" w:hAnsi="Arial" w:cs="Arial"/>
                <w:sz w:val="20"/>
                <w:szCs w:val="20"/>
              </w:rPr>
            </w:pPr>
            <w:r w:rsidRPr="00B719EA">
              <w:rPr>
                <w:rFonts w:ascii="Arial" w:hAnsi="Arial" w:cs="Arial"/>
                <w:sz w:val="20"/>
                <w:szCs w:val="20"/>
              </w:rPr>
              <w:t>15.7</w:t>
            </w:r>
          </w:p>
        </w:tc>
        <w:tc>
          <w:tcPr>
            <w:tcW w:w="0" w:type="auto"/>
          </w:tcPr>
          <w:p w14:paraId="1E99279D" w14:textId="5B312458" w:rsidR="00B719EA" w:rsidRPr="00B719EA" w:rsidRDefault="00B719EA" w:rsidP="00B719EA">
            <w:pPr>
              <w:jc w:val="right"/>
              <w:rPr>
                <w:rFonts w:ascii="Arial" w:hAnsi="Arial" w:cs="Arial"/>
                <w:sz w:val="20"/>
                <w:szCs w:val="20"/>
              </w:rPr>
            </w:pPr>
            <w:r w:rsidRPr="00B719EA">
              <w:rPr>
                <w:rFonts w:ascii="Arial" w:hAnsi="Arial" w:cs="Arial"/>
                <w:sz w:val="20"/>
                <w:szCs w:val="20"/>
              </w:rPr>
              <w:t>2.5%</w:t>
            </w:r>
          </w:p>
        </w:tc>
      </w:tr>
      <w:tr w:rsidR="00F54A8F" w14:paraId="6903F70E" w14:textId="77777777" w:rsidTr="00FF7D13">
        <w:trPr>
          <w:jc w:val="center"/>
        </w:trPr>
        <w:tc>
          <w:tcPr>
            <w:tcW w:w="1219" w:type="dxa"/>
            <w:vMerge/>
            <w:vAlign w:val="center"/>
          </w:tcPr>
          <w:p w14:paraId="0D28F3A3" w14:textId="77777777" w:rsidR="00B719EA" w:rsidRPr="0058386F" w:rsidRDefault="00B719EA" w:rsidP="00B719EA">
            <w:pPr>
              <w:keepNext/>
              <w:keepLines/>
              <w:jc w:val="center"/>
              <w:rPr>
                <w:rFonts w:ascii="Arial" w:hAnsi="Arial" w:cs="Arial"/>
                <w:b/>
                <w:sz w:val="20"/>
                <w:szCs w:val="20"/>
              </w:rPr>
            </w:pPr>
          </w:p>
        </w:tc>
        <w:tc>
          <w:tcPr>
            <w:tcW w:w="761" w:type="dxa"/>
          </w:tcPr>
          <w:p w14:paraId="77177EC4" w14:textId="301F0AEA"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4</w:t>
            </w:r>
          </w:p>
        </w:tc>
        <w:tc>
          <w:tcPr>
            <w:tcW w:w="0" w:type="auto"/>
          </w:tcPr>
          <w:p w14:paraId="5B671B24" w14:textId="3CA2C597" w:rsidR="00B719EA" w:rsidRPr="00B719EA" w:rsidRDefault="00B719EA" w:rsidP="00B719EA">
            <w:pPr>
              <w:rPr>
                <w:rFonts w:ascii="Arial" w:hAnsi="Arial" w:cs="Arial"/>
                <w:color w:val="000000"/>
                <w:sz w:val="20"/>
                <w:szCs w:val="20"/>
              </w:rPr>
            </w:pPr>
            <w:r w:rsidRPr="00B719EA">
              <w:rPr>
                <w:rFonts w:ascii="Arial" w:hAnsi="Arial" w:cs="Arial"/>
                <w:sz w:val="20"/>
                <w:szCs w:val="20"/>
              </w:rPr>
              <w:t>7/14/2014</w:t>
            </w:r>
          </w:p>
        </w:tc>
        <w:tc>
          <w:tcPr>
            <w:tcW w:w="0" w:type="auto"/>
          </w:tcPr>
          <w:p w14:paraId="1D890A53" w14:textId="7A0EC3BE" w:rsidR="00B719EA" w:rsidRPr="00B719EA" w:rsidRDefault="00B719EA" w:rsidP="00B719EA">
            <w:pPr>
              <w:keepNext/>
              <w:keepLines/>
              <w:rPr>
                <w:rFonts w:ascii="Arial" w:hAnsi="Arial" w:cs="Arial"/>
                <w:sz w:val="20"/>
                <w:szCs w:val="20"/>
              </w:rPr>
            </w:pPr>
            <w:r w:rsidRPr="00B719EA">
              <w:rPr>
                <w:rFonts w:ascii="Arial" w:hAnsi="Arial" w:cs="Arial"/>
                <w:sz w:val="20"/>
                <w:szCs w:val="20"/>
              </w:rPr>
              <w:t>Monday</w:t>
            </w:r>
          </w:p>
        </w:tc>
        <w:tc>
          <w:tcPr>
            <w:tcW w:w="0" w:type="auto"/>
          </w:tcPr>
          <w:p w14:paraId="2D5DC841" w14:textId="2E3EC1E7" w:rsidR="00B719EA" w:rsidRPr="00B719EA" w:rsidRDefault="00B719EA" w:rsidP="00B719EA">
            <w:pPr>
              <w:jc w:val="right"/>
              <w:rPr>
                <w:rFonts w:ascii="Arial" w:hAnsi="Arial" w:cs="Arial"/>
                <w:sz w:val="20"/>
                <w:szCs w:val="20"/>
              </w:rPr>
            </w:pPr>
          </w:p>
        </w:tc>
        <w:tc>
          <w:tcPr>
            <w:tcW w:w="0" w:type="auto"/>
          </w:tcPr>
          <w:p w14:paraId="01D81EA3" w14:textId="7B6D6168" w:rsidR="00B719EA" w:rsidRPr="00B719EA" w:rsidRDefault="00B719EA" w:rsidP="00B719EA">
            <w:pPr>
              <w:jc w:val="right"/>
              <w:rPr>
                <w:rFonts w:ascii="Arial" w:hAnsi="Arial" w:cs="Arial"/>
                <w:sz w:val="20"/>
                <w:szCs w:val="20"/>
              </w:rPr>
            </w:pPr>
          </w:p>
        </w:tc>
        <w:tc>
          <w:tcPr>
            <w:tcW w:w="0" w:type="auto"/>
          </w:tcPr>
          <w:p w14:paraId="5B1C0F75" w14:textId="363DC9A4" w:rsidR="00B719EA" w:rsidRPr="00B719EA" w:rsidRDefault="00B719EA" w:rsidP="00B719EA">
            <w:pPr>
              <w:jc w:val="right"/>
              <w:rPr>
                <w:rFonts w:ascii="Arial" w:hAnsi="Arial" w:cs="Arial"/>
                <w:sz w:val="20"/>
                <w:szCs w:val="20"/>
              </w:rPr>
            </w:pPr>
          </w:p>
        </w:tc>
        <w:tc>
          <w:tcPr>
            <w:tcW w:w="0" w:type="auto"/>
          </w:tcPr>
          <w:p w14:paraId="5E89D6D8" w14:textId="1E657B74" w:rsidR="00B719EA" w:rsidRPr="00B719EA" w:rsidRDefault="00B719EA" w:rsidP="00B719EA">
            <w:pPr>
              <w:jc w:val="right"/>
              <w:rPr>
                <w:rFonts w:ascii="Arial" w:hAnsi="Arial" w:cs="Arial"/>
                <w:sz w:val="20"/>
                <w:szCs w:val="20"/>
              </w:rPr>
            </w:pPr>
          </w:p>
        </w:tc>
      </w:tr>
      <w:tr w:rsidR="00F54A8F" w14:paraId="1D877E15" w14:textId="77777777" w:rsidTr="00FF7D13">
        <w:trPr>
          <w:jc w:val="center"/>
        </w:trPr>
        <w:tc>
          <w:tcPr>
            <w:tcW w:w="1219" w:type="dxa"/>
            <w:vMerge/>
            <w:vAlign w:val="center"/>
          </w:tcPr>
          <w:p w14:paraId="5829C514" w14:textId="77777777" w:rsidR="00B719EA" w:rsidRPr="0058386F" w:rsidRDefault="00B719EA" w:rsidP="00B719EA">
            <w:pPr>
              <w:keepNext/>
              <w:keepLines/>
              <w:jc w:val="center"/>
              <w:rPr>
                <w:rFonts w:ascii="Arial" w:hAnsi="Arial" w:cs="Arial"/>
                <w:b/>
                <w:sz w:val="20"/>
                <w:szCs w:val="20"/>
              </w:rPr>
            </w:pPr>
          </w:p>
        </w:tc>
        <w:tc>
          <w:tcPr>
            <w:tcW w:w="761" w:type="dxa"/>
          </w:tcPr>
          <w:p w14:paraId="557A66CF" w14:textId="590C79DB"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5</w:t>
            </w:r>
          </w:p>
        </w:tc>
        <w:tc>
          <w:tcPr>
            <w:tcW w:w="0" w:type="auto"/>
          </w:tcPr>
          <w:p w14:paraId="53C6E52B" w14:textId="289CE195" w:rsidR="00B719EA" w:rsidRPr="00B719EA" w:rsidRDefault="00B719EA" w:rsidP="00B719EA">
            <w:pPr>
              <w:rPr>
                <w:rFonts w:ascii="Arial" w:hAnsi="Arial" w:cs="Arial"/>
                <w:color w:val="000000"/>
                <w:sz w:val="20"/>
                <w:szCs w:val="20"/>
              </w:rPr>
            </w:pPr>
            <w:r w:rsidRPr="00B719EA">
              <w:rPr>
                <w:rFonts w:ascii="Arial" w:hAnsi="Arial" w:cs="Arial"/>
                <w:sz w:val="20"/>
                <w:szCs w:val="20"/>
              </w:rPr>
              <w:t>7/28/2014</w:t>
            </w:r>
          </w:p>
        </w:tc>
        <w:tc>
          <w:tcPr>
            <w:tcW w:w="0" w:type="auto"/>
          </w:tcPr>
          <w:p w14:paraId="105297E3" w14:textId="421C72D9" w:rsidR="00B719EA" w:rsidRPr="00B719EA" w:rsidRDefault="00B719EA" w:rsidP="00B719EA">
            <w:pPr>
              <w:keepNext/>
              <w:keepLines/>
              <w:rPr>
                <w:rFonts w:ascii="Arial" w:hAnsi="Arial" w:cs="Arial"/>
                <w:sz w:val="20"/>
                <w:szCs w:val="20"/>
              </w:rPr>
            </w:pPr>
            <w:r w:rsidRPr="00B719EA">
              <w:rPr>
                <w:rFonts w:ascii="Arial" w:hAnsi="Arial" w:cs="Arial"/>
                <w:sz w:val="20"/>
                <w:szCs w:val="20"/>
              </w:rPr>
              <w:t>Monday</w:t>
            </w:r>
          </w:p>
        </w:tc>
        <w:tc>
          <w:tcPr>
            <w:tcW w:w="0" w:type="auto"/>
          </w:tcPr>
          <w:p w14:paraId="4B999D35" w14:textId="2F386496" w:rsidR="00B719EA" w:rsidRPr="00B719EA" w:rsidRDefault="00B719EA" w:rsidP="00B719EA">
            <w:pPr>
              <w:jc w:val="right"/>
              <w:rPr>
                <w:rFonts w:ascii="Arial" w:hAnsi="Arial" w:cs="Arial"/>
                <w:sz w:val="20"/>
                <w:szCs w:val="20"/>
              </w:rPr>
            </w:pPr>
            <w:r w:rsidRPr="00B719EA">
              <w:rPr>
                <w:rFonts w:ascii="Arial" w:hAnsi="Arial" w:cs="Arial"/>
                <w:sz w:val="20"/>
                <w:szCs w:val="20"/>
              </w:rPr>
              <w:t>665.0</w:t>
            </w:r>
          </w:p>
        </w:tc>
        <w:tc>
          <w:tcPr>
            <w:tcW w:w="0" w:type="auto"/>
          </w:tcPr>
          <w:p w14:paraId="5F30C781" w14:textId="21779C92" w:rsidR="00B719EA" w:rsidRPr="00B719EA" w:rsidRDefault="00B719EA" w:rsidP="00B719EA">
            <w:pPr>
              <w:jc w:val="right"/>
              <w:rPr>
                <w:rFonts w:ascii="Arial" w:hAnsi="Arial" w:cs="Arial"/>
                <w:sz w:val="20"/>
                <w:szCs w:val="20"/>
              </w:rPr>
            </w:pPr>
            <w:r w:rsidRPr="00B719EA">
              <w:rPr>
                <w:rFonts w:ascii="Arial" w:hAnsi="Arial" w:cs="Arial"/>
                <w:sz w:val="20"/>
                <w:szCs w:val="20"/>
              </w:rPr>
              <w:t>635.4</w:t>
            </w:r>
          </w:p>
        </w:tc>
        <w:tc>
          <w:tcPr>
            <w:tcW w:w="0" w:type="auto"/>
          </w:tcPr>
          <w:p w14:paraId="6D62841D" w14:textId="04BE4ADC" w:rsidR="00B719EA" w:rsidRPr="00B719EA" w:rsidRDefault="00B719EA" w:rsidP="00B719EA">
            <w:pPr>
              <w:jc w:val="right"/>
              <w:rPr>
                <w:rFonts w:ascii="Arial" w:hAnsi="Arial" w:cs="Arial"/>
                <w:sz w:val="20"/>
                <w:szCs w:val="20"/>
              </w:rPr>
            </w:pPr>
            <w:r w:rsidRPr="00B719EA">
              <w:rPr>
                <w:rFonts w:ascii="Arial" w:hAnsi="Arial" w:cs="Arial"/>
                <w:sz w:val="20"/>
                <w:szCs w:val="20"/>
              </w:rPr>
              <w:t>29.7</w:t>
            </w:r>
          </w:p>
        </w:tc>
        <w:tc>
          <w:tcPr>
            <w:tcW w:w="0" w:type="auto"/>
          </w:tcPr>
          <w:p w14:paraId="77734E15" w14:textId="134A87C8" w:rsidR="00B719EA" w:rsidRPr="00B719EA" w:rsidRDefault="00B719EA" w:rsidP="00B719EA">
            <w:pPr>
              <w:jc w:val="right"/>
              <w:rPr>
                <w:rFonts w:ascii="Arial" w:hAnsi="Arial" w:cs="Arial"/>
                <w:sz w:val="20"/>
                <w:szCs w:val="20"/>
              </w:rPr>
            </w:pPr>
            <w:r w:rsidRPr="00B719EA">
              <w:rPr>
                <w:rFonts w:ascii="Arial" w:hAnsi="Arial" w:cs="Arial"/>
                <w:sz w:val="20"/>
                <w:szCs w:val="20"/>
              </w:rPr>
              <w:t>4.5%</w:t>
            </w:r>
          </w:p>
        </w:tc>
      </w:tr>
      <w:tr w:rsidR="00F54A8F" w14:paraId="47DC79B9" w14:textId="77777777" w:rsidTr="00FF7D13">
        <w:trPr>
          <w:jc w:val="center"/>
        </w:trPr>
        <w:tc>
          <w:tcPr>
            <w:tcW w:w="1219" w:type="dxa"/>
            <w:vMerge/>
            <w:vAlign w:val="center"/>
          </w:tcPr>
          <w:p w14:paraId="25C628A9" w14:textId="77777777" w:rsidR="00B719EA" w:rsidRPr="0058386F" w:rsidRDefault="00B719EA" w:rsidP="00B719EA">
            <w:pPr>
              <w:keepNext/>
              <w:keepLines/>
              <w:jc w:val="center"/>
              <w:rPr>
                <w:rFonts w:ascii="Arial" w:hAnsi="Arial" w:cs="Arial"/>
                <w:b/>
                <w:sz w:val="20"/>
                <w:szCs w:val="20"/>
              </w:rPr>
            </w:pPr>
          </w:p>
        </w:tc>
        <w:tc>
          <w:tcPr>
            <w:tcW w:w="761" w:type="dxa"/>
          </w:tcPr>
          <w:p w14:paraId="3E129A7C" w14:textId="586EB56A"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6</w:t>
            </w:r>
          </w:p>
        </w:tc>
        <w:tc>
          <w:tcPr>
            <w:tcW w:w="0" w:type="auto"/>
          </w:tcPr>
          <w:p w14:paraId="6ABD5EA3" w14:textId="2A328165" w:rsidR="00B719EA" w:rsidRPr="00B719EA" w:rsidRDefault="00B719EA" w:rsidP="00B719EA">
            <w:pPr>
              <w:rPr>
                <w:rFonts w:ascii="Arial" w:hAnsi="Arial" w:cs="Arial"/>
                <w:color w:val="000000"/>
                <w:sz w:val="20"/>
                <w:szCs w:val="20"/>
              </w:rPr>
            </w:pPr>
            <w:r w:rsidRPr="00B719EA">
              <w:rPr>
                <w:rFonts w:ascii="Arial" w:hAnsi="Arial" w:cs="Arial"/>
                <w:sz w:val="20"/>
                <w:szCs w:val="20"/>
              </w:rPr>
              <w:t>7/29/2014</w:t>
            </w:r>
          </w:p>
        </w:tc>
        <w:tc>
          <w:tcPr>
            <w:tcW w:w="0" w:type="auto"/>
          </w:tcPr>
          <w:p w14:paraId="7DE47A03" w14:textId="6E9ACA05" w:rsidR="00B719EA" w:rsidRPr="00B719EA" w:rsidRDefault="00B719EA" w:rsidP="00B719EA">
            <w:pPr>
              <w:keepNext/>
              <w:keepLines/>
              <w:rPr>
                <w:rFonts w:ascii="Arial" w:hAnsi="Arial" w:cs="Arial"/>
                <w:sz w:val="20"/>
                <w:szCs w:val="20"/>
              </w:rPr>
            </w:pPr>
            <w:r w:rsidRPr="00B719EA">
              <w:rPr>
                <w:rFonts w:ascii="Arial" w:hAnsi="Arial" w:cs="Arial"/>
                <w:sz w:val="20"/>
                <w:szCs w:val="20"/>
              </w:rPr>
              <w:t>Tuesday</w:t>
            </w:r>
          </w:p>
        </w:tc>
        <w:tc>
          <w:tcPr>
            <w:tcW w:w="0" w:type="auto"/>
          </w:tcPr>
          <w:p w14:paraId="4129CD62" w14:textId="2D47BD6D" w:rsidR="00B719EA" w:rsidRPr="00B719EA" w:rsidRDefault="00B719EA" w:rsidP="00B719EA">
            <w:pPr>
              <w:jc w:val="right"/>
              <w:rPr>
                <w:rFonts w:ascii="Arial" w:hAnsi="Arial" w:cs="Arial"/>
                <w:sz w:val="20"/>
                <w:szCs w:val="20"/>
              </w:rPr>
            </w:pPr>
            <w:r w:rsidRPr="00B719EA">
              <w:rPr>
                <w:rFonts w:ascii="Arial" w:hAnsi="Arial" w:cs="Arial"/>
                <w:sz w:val="20"/>
                <w:szCs w:val="20"/>
              </w:rPr>
              <w:t>663.4</w:t>
            </w:r>
          </w:p>
        </w:tc>
        <w:tc>
          <w:tcPr>
            <w:tcW w:w="0" w:type="auto"/>
          </w:tcPr>
          <w:p w14:paraId="7BB91206" w14:textId="343ADA29" w:rsidR="00B719EA" w:rsidRPr="00B719EA" w:rsidRDefault="00B719EA" w:rsidP="00B719EA">
            <w:pPr>
              <w:jc w:val="right"/>
              <w:rPr>
                <w:rFonts w:ascii="Arial" w:hAnsi="Arial" w:cs="Arial"/>
                <w:sz w:val="20"/>
                <w:szCs w:val="20"/>
              </w:rPr>
            </w:pPr>
            <w:r w:rsidRPr="00B719EA">
              <w:rPr>
                <w:rFonts w:ascii="Arial" w:hAnsi="Arial" w:cs="Arial"/>
                <w:sz w:val="20"/>
                <w:szCs w:val="20"/>
              </w:rPr>
              <w:t>641.0</w:t>
            </w:r>
          </w:p>
        </w:tc>
        <w:tc>
          <w:tcPr>
            <w:tcW w:w="0" w:type="auto"/>
          </w:tcPr>
          <w:p w14:paraId="05F55FD4" w14:textId="50D02F62" w:rsidR="00B719EA" w:rsidRPr="00B719EA" w:rsidRDefault="00B719EA" w:rsidP="00B719EA">
            <w:pPr>
              <w:jc w:val="right"/>
              <w:rPr>
                <w:rFonts w:ascii="Arial" w:hAnsi="Arial" w:cs="Arial"/>
                <w:sz w:val="20"/>
                <w:szCs w:val="20"/>
              </w:rPr>
            </w:pPr>
            <w:r w:rsidRPr="00B719EA">
              <w:rPr>
                <w:rFonts w:ascii="Arial" w:hAnsi="Arial" w:cs="Arial"/>
                <w:sz w:val="20"/>
                <w:szCs w:val="20"/>
              </w:rPr>
              <w:t>22.4</w:t>
            </w:r>
          </w:p>
        </w:tc>
        <w:tc>
          <w:tcPr>
            <w:tcW w:w="0" w:type="auto"/>
          </w:tcPr>
          <w:p w14:paraId="3169EE01" w14:textId="5DB6B04C" w:rsidR="00B719EA" w:rsidRPr="00B719EA" w:rsidRDefault="00B719EA" w:rsidP="00B719EA">
            <w:pPr>
              <w:jc w:val="right"/>
              <w:rPr>
                <w:rFonts w:ascii="Arial" w:hAnsi="Arial" w:cs="Arial"/>
                <w:sz w:val="20"/>
                <w:szCs w:val="20"/>
              </w:rPr>
            </w:pPr>
            <w:r w:rsidRPr="00B719EA">
              <w:rPr>
                <w:rFonts w:ascii="Arial" w:hAnsi="Arial" w:cs="Arial"/>
                <w:sz w:val="20"/>
                <w:szCs w:val="20"/>
              </w:rPr>
              <w:t>3.4%</w:t>
            </w:r>
          </w:p>
        </w:tc>
      </w:tr>
      <w:tr w:rsidR="00F54A8F" w14:paraId="4E5A7874" w14:textId="77777777" w:rsidTr="00FF7D13">
        <w:trPr>
          <w:jc w:val="center"/>
        </w:trPr>
        <w:tc>
          <w:tcPr>
            <w:tcW w:w="1219" w:type="dxa"/>
            <w:vMerge/>
            <w:vAlign w:val="center"/>
          </w:tcPr>
          <w:p w14:paraId="61DCE0F6" w14:textId="77777777" w:rsidR="00B719EA" w:rsidRPr="0058386F" w:rsidRDefault="00B719EA" w:rsidP="00B719EA">
            <w:pPr>
              <w:keepNext/>
              <w:keepLines/>
              <w:jc w:val="center"/>
              <w:rPr>
                <w:rFonts w:ascii="Arial" w:hAnsi="Arial" w:cs="Arial"/>
                <w:b/>
                <w:sz w:val="20"/>
                <w:szCs w:val="20"/>
              </w:rPr>
            </w:pPr>
          </w:p>
        </w:tc>
        <w:tc>
          <w:tcPr>
            <w:tcW w:w="761" w:type="dxa"/>
          </w:tcPr>
          <w:p w14:paraId="71AF33D3" w14:textId="434502D9"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7</w:t>
            </w:r>
          </w:p>
        </w:tc>
        <w:tc>
          <w:tcPr>
            <w:tcW w:w="0" w:type="auto"/>
          </w:tcPr>
          <w:p w14:paraId="69642C85" w14:textId="498B215D" w:rsidR="00B719EA" w:rsidRPr="00B719EA" w:rsidRDefault="00B719EA" w:rsidP="00B719EA">
            <w:pPr>
              <w:rPr>
                <w:rFonts w:ascii="Arial" w:hAnsi="Arial" w:cs="Arial"/>
                <w:color w:val="000000"/>
                <w:sz w:val="20"/>
                <w:szCs w:val="20"/>
              </w:rPr>
            </w:pPr>
            <w:r w:rsidRPr="00B719EA">
              <w:rPr>
                <w:rFonts w:ascii="Arial" w:hAnsi="Arial" w:cs="Arial"/>
                <w:sz w:val="20"/>
                <w:szCs w:val="20"/>
              </w:rPr>
              <w:t>7/30/2014</w:t>
            </w:r>
          </w:p>
        </w:tc>
        <w:tc>
          <w:tcPr>
            <w:tcW w:w="0" w:type="auto"/>
          </w:tcPr>
          <w:p w14:paraId="430CE8B8" w14:textId="798BC127" w:rsidR="00B719EA" w:rsidRPr="00B719EA" w:rsidRDefault="00B719EA" w:rsidP="00B719EA">
            <w:pPr>
              <w:keepNext/>
              <w:keepLines/>
              <w:rPr>
                <w:rFonts w:ascii="Arial" w:hAnsi="Arial" w:cs="Arial"/>
                <w:sz w:val="20"/>
                <w:szCs w:val="20"/>
              </w:rPr>
            </w:pPr>
            <w:r w:rsidRPr="00B719EA">
              <w:rPr>
                <w:rFonts w:ascii="Arial" w:hAnsi="Arial" w:cs="Arial"/>
                <w:sz w:val="20"/>
                <w:szCs w:val="20"/>
              </w:rPr>
              <w:t>Wednesday</w:t>
            </w:r>
          </w:p>
        </w:tc>
        <w:tc>
          <w:tcPr>
            <w:tcW w:w="0" w:type="auto"/>
          </w:tcPr>
          <w:p w14:paraId="6148C517" w14:textId="44962A74" w:rsidR="00B719EA" w:rsidRPr="00B719EA" w:rsidRDefault="00B719EA" w:rsidP="00B719EA">
            <w:pPr>
              <w:jc w:val="right"/>
              <w:rPr>
                <w:rFonts w:ascii="Arial" w:hAnsi="Arial" w:cs="Arial"/>
                <w:sz w:val="20"/>
                <w:szCs w:val="20"/>
              </w:rPr>
            </w:pPr>
            <w:r w:rsidRPr="00B719EA">
              <w:rPr>
                <w:rFonts w:ascii="Arial" w:hAnsi="Arial" w:cs="Arial"/>
                <w:sz w:val="20"/>
                <w:szCs w:val="20"/>
              </w:rPr>
              <w:t>676.0</w:t>
            </w:r>
          </w:p>
        </w:tc>
        <w:tc>
          <w:tcPr>
            <w:tcW w:w="0" w:type="auto"/>
          </w:tcPr>
          <w:p w14:paraId="3FBDF2ED" w14:textId="4FE76B9F" w:rsidR="00B719EA" w:rsidRPr="00B719EA" w:rsidRDefault="00B719EA" w:rsidP="00B719EA">
            <w:pPr>
              <w:jc w:val="right"/>
              <w:rPr>
                <w:rFonts w:ascii="Arial" w:hAnsi="Arial" w:cs="Arial"/>
                <w:sz w:val="20"/>
                <w:szCs w:val="20"/>
              </w:rPr>
            </w:pPr>
            <w:r w:rsidRPr="00B719EA">
              <w:rPr>
                <w:rFonts w:ascii="Arial" w:hAnsi="Arial" w:cs="Arial"/>
                <w:sz w:val="20"/>
                <w:szCs w:val="20"/>
              </w:rPr>
              <w:t>652.1</w:t>
            </w:r>
          </w:p>
        </w:tc>
        <w:tc>
          <w:tcPr>
            <w:tcW w:w="0" w:type="auto"/>
          </w:tcPr>
          <w:p w14:paraId="751D3354" w14:textId="7C189789" w:rsidR="00B719EA" w:rsidRPr="00B719EA" w:rsidRDefault="00B719EA" w:rsidP="00B719EA">
            <w:pPr>
              <w:jc w:val="right"/>
              <w:rPr>
                <w:rFonts w:ascii="Arial" w:hAnsi="Arial" w:cs="Arial"/>
                <w:sz w:val="20"/>
                <w:szCs w:val="20"/>
              </w:rPr>
            </w:pPr>
            <w:r w:rsidRPr="00B719EA">
              <w:rPr>
                <w:rFonts w:ascii="Arial" w:hAnsi="Arial" w:cs="Arial"/>
                <w:sz w:val="20"/>
                <w:szCs w:val="20"/>
              </w:rPr>
              <w:t>24.0</w:t>
            </w:r>
          </w:p>
        </w:tc>
        <w:tc>
          <w:tcPr>
            <w:tcW w:w="0" w:type="auto"/>
          </w:tcPr>
          <w:p w14:paraId="7C47176C" w14:textId="567A6EBC" w:rsidR="00B719EA" w:rsidRPr="00B719EA" w:rsidRDefault="00B719EA" w:rsidP="00B719EA">
            <w:pPr>
              <w:jc w:val="right"/>
              <w:rPr>
                <w:rFonts w:ascii="Arial" w:hAnsi="Arial" w:cs="Arial"/>
                <w:sz w:val="20"/>
                <w:szCs w:val="20"/>
              </w:rPr>
            </w:pPr>
            <w:r w:rsidRPr="00B719EA">
              <w:rPr>
                <w:rFonts w:ascii="Arial" w:hAnsi="Arial" w:cs="Arial"/>
                <w:sz w:val="20"/>
                <w:szCs w:val="20"/>
              </w:rPr>
              <w:t>3.5%</w:t>
            </w:r>
          </w:p>
        </w:tc>
      </w:tr>
      <w:tr w:rsidR="00F54A8F" w14:paraId="6741D6E1" w14:textId="77777777" w:rsidTr="00FF7D13">
        <w:trPr>
          <w:jc w:val="center"/>
        </w:trPr>
        <w:tc>
          <w:tcPr>
            <w:tcW w:w="1219" w:type="dxa"/>
            <w:vMerge/>
            <w:vAlign w:val="center"/>
          </w:tcPr>
          <w:p w14:paraId="59D0013E" w14:textId="77777777" w:rsidR="00B719EA" w:rsidRPr="0058386F" w:rsidRDefault="00B719EA" w:rsidP="00B719EA">
            <w:pPr>
              <w:keepNext/>
              <w:keepLines/>
              <w:jc w:val="center"/>
              <w:rPr>
                <w:rFonts w:ascii="Arial" w:hAnsi="Arial" w:cs="Arial"/>
                <w:b/>
                <w:sz w:val="20"/>
                <w:szCs w:val="20"/>
              </w:rPr>
            </w:pPr>
          </w:p>
        </w:tc>
        <w:tc>
          <w:tcPr>
            <w:tcW w:w="761" w:type="dxa"/>
          </w:tcPr>
          <w:p w14:paraId="1BCC8184" w14:textId="017DE33E"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8</w:t>
            </w:r>
          </w:p>
        </w:tc>
        <w:tc>
          <w:tcPr>
            <w:tcW w:w="0" w:type="auto"/>
          </w:tcPr>
          <w:p w14:paraId="0F915E34" w14:textId="55836E8E" w:rsidR="00B719EA" w:rsidRPr="00B719EA" w:rsidRDefault="00B719EA" w:rsidP="00B719EA">
            <w:pPr>
              <w:rPr>
                <w:rFonts w:ascii="Arial" w:hAnsi="Arial" w:cs="Arial"/>
                <w:color w:val="000000"/>
                <w:sz w:val="20"/>
                <w:szCs w:val="20"/>
              </w:rPr>
            </w:pPr>
            <w:r w:rsidRPr="00B719EA">
              <w:rPr>
                <w:rFonts w:ascii="Arial" w:hAnsi="Arial" w:cs="Arial"/>
                <w:sz w:val="20"/>
                <w:szCs w:val="20"/>
              </w:rPr>
              <w:t>7/31/2014</w:t>
            </w:r>
          </w:p>
        </w:tc>
        <w:tc>
          <w:tcPr>
            <w:tcW w:w="0" w:type="auto"/>
          </w:tcPr>
          <w:p w14:paraId="56D79BAC" w14:textId="2E351DCC" w:rsidR="00B719EA" w:rsidRPr="00B719EA" w:rsidRDefault="00B719EA" w:rsidP="00B719EA">
            <w:pPr>
              <w:keepNext/>
              <w:keepLines/>
              <w:rPr>
                <w:rFonts w:ascii="Arial" w:hAnsi="Arial" w:cs="Arial"/>
                <w:sz w:val="20"/>
                <w:szCs w:val="20"/>
              </w:rPr>
            </w:pPr>
            <w:r w:rsidRPr="00B719EA">
              <w:rPr>
                <w:rFonts w:ascii="Arial" w:hAnsi="Arial" w:cs="Arial"/>
                <w:sz w:val="20"/>
                <w:szCs w:val="20"/>
              </w:rPr>
              <w:t>Thursday</w:t>
            </w:r>
          </w:p>
        </w:tc>
        <w:tc>
          <w:tcPr>
            <w:tcW w:w="0" w:type="auto"/>
          </w:tcPr>
          <w:p w14:paraId="287C0AD3" w14:textId="31F707D3" w:rsidR="00B719EA" w:rsidRPr="00B719EA" w:rsidRDefault="00B719EA" w:rsidP="00B719EA">
            <w:pPr>
              <w:jc w:val="right"/>
              <w:rPr>
                <w:rFonts w:ascii="Arial" w:hAnsi="Arial" w:cs="Arial"/>
                <w:sz w:val="20"/>
                <w:szCs w:val="20"/>
              </w:rPr>
            </w:pPr>
            <w:r w:rsidRPr="00B719EA">
              <w:rPr>
                <w:rFonts w:ascii="Arial" w:hAnsi="Arial" w:cs="Arial"/>
                <w:sz w:val="20"/>
                <w:szCs w:val="20"/>
              </w:rPr>
              <w:t>678.8</w:t>
            </w:r>
          </w:p>
        </w:tc>
        <w:tc>
          <w:tcPr>
            <w:tcW w:w="0" w:type="auto"/>
          </w:tcPr>
          <w:p w14:paraId="39B8055D" w14:textId="6CF40836" w:rsidR="00B719EA" w:rsidRPr="00B719EA" w:rsidRDefault="00B719EA" w:rsidP="00B719EA">
            <w:pPr>
              <w:jc w:val="right"/>
              <w:rPr>
                <w:rFonts w:ascii="Arial" w:hAnsi="Arial" w:cs="Arial"/>
                <w:sz w:val="20"/>
                <w:szCs w:val="20"/>
              </w:rPr>
            </w:pPr>
            <w:r w:rsidRPr="00B719EA">
              <w:rPr>
                <w:rFonts w:ascii="Arial" w:hAnsi="Arial" w:cs="Arial"/>
                <w:sz w:val="20"/>
                <w:szCs w:val="20"/>
              </w:rPr>
              <w:t>652.6</w:t>
            </w:r>
          </w:p>
        </w:tc>
        <w:tc>
          <w:tcPr>
            <w:tcW w:w="0" w:type="auto"/>
          </w:tcPr>
          <w:p w14:paraId="63B289EA" w14:textId="68EBE24C" w:rsidR="00B719EA" w:rsidRPr="00B719EA" w:rsidRDefault="00B719EA" w:rsidP="00B719EA">
            <w:pPr>
              <w:jc w:val="right"/>
              <w:rPr>
                <w:rFonts w:ascii="Arial" w:hAnsi="Arial" w:cs="Arial"/>
                <w:sz w:val="20"/>
                <w:szCs w:val="20"/>
              </w:rPr>
            </w:pPr>
            <w:r w:rsidRPr="00B719EA">
              <w:rPr>
                <w:rFonts w:ascii="Arial" w:hAnsi="Arial" w:cs="Arial"/>
                <w:sz w:val="20"/>
                <w:szCs w:val="20"/>
              </w:rPr>
              <w:t>26.1</w:t>
            </w:r>
          </w:p>
        </w:tc>
        <w:tc>
          <w:tcPr>
            <w:tcW w:w="0" w:type="auto"/>
          </w:tcPr>
          <w:p w14:paraId="5361BAA3" w14:textId="3C555FFE" w:rsidR="00B719EA" w:rsidRPr="00B719EA" w:rsidRDefault="00B719EA" w:rsidP="00B719EA">
            <w:pPr>
              <w:jc w:val="right"/>
              <w:rPr>
                <w:rFonts w:ascii="Arial" w:hAnsi="Arial" w:cs="Arial"/>
                <w:sz w:val="20"/>
                <w:szCs w:val="20"/>
              </w:rPr>
            </w:pPr>
            <w:r w:rsidRPr="00B719EA">
              <w:rPr>
                <w:rFonts w:ascii="Arial" w:hAnsi="Arial" w:cs="Arial"/>
                <w:sz w:val="20"/>
                <w:szCs w:val="20"/>
              </w:rPr>
              <w:t>3.9%</w:t>
            </w:r>
          </w:p>
        </w:tc>
      </w:tr>
      <w:tr w:rsidR="00F54A8F" w14:paraId="2A34DCB8" w14:textId="77777777" w:rsidTr="00FF7D13">
        <w:trPr>
          <w:jc w:val="center"/>
        </w:trPr>
        <w:tc>
          <w:tcPr>
            <w:tcW w:w="1219" w:type="dxa"/>
            <w:vMerge/>
            <w:vAlign w:val="center"/>
          </w:tcPr>
          <w:p w14:paraId="6B9B2576" w14:textId="77777777" w:rsidR="00B719EA" w:rsidRPr="0058386F" w:rsidRDefault="00B719EA" w:rsidP="00B719EA">
            <w:pPr>
              <w:keepNext/>
              <w:keepLines/>
              <w:jc w:val="center"/>
              <w:rPr>
                <w:rFonts w:ascii="Arial" w:hAnsi="Arial" w:cs="Arial"/>
                <w:b/>
                <w:sz w:val="20"/>
                <w:szCs w:val="20"/>
              </w:rPr>
            </w:pPr>
          </w:p>
        </w:tc>
        <w:tc>
          <w:tcPr>
            <w:tcW w:w="761" w:type="dxa"/>
          </w:tcPr>
          <w:p w14:paraId="39F90C37" w14:textId="46C4E2BE"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9</w:t>
            </w:r>
          </w:p>
        </w:tc>
        <w:tc>
          <w:tcPr>
            <w:tcW w:w="0" w:type="auto"/>
          </w:tcPr>
          <w:p w14:paraId="225666A2" w14:textId="0A3B5F61" w:rsidR="00B719EA" w:rsidRPr="00B719EA" w:rsidRDefault="00B719EA" w:rsidP="00B719EA">
            <w:pPr>
              <w:rPr>
                <w:rFonts w:ascii="Arial" w:hAnsi="Arial" w:cs="Arial"/>
                <w:color w:val="000000"/>
                <w:sz w:val="20"/>
                <w:szCs w:val="20"/>
              </w:rPr>
            </w:pPr>
            <w:r w:rsidRPr="00B719EA">
              <w:rPr>
                <w:rFonts w:ascii="Arial" w:hAnsi="Arial" w:cs="Arial"/>
                <w:sz w:val="20"/>
                <w:szCs w:val="20"/>
              </w:rPr>
              <w:t>8/1/2014</w:t>
            </w:r>
          </w:p>
        </w:tc>
        <w:tc>
          <w:tcPr>
            <w:tcW w:w="0" w:type="auto"/>
          </w:tcPr>
          <w:p w14:paraId="67AC27B8" w14:textId="22C6C33D" w:rsidR="00B719EA" w:rsidRPr="00B719EA" w:rsidRDefault="00B719EA" w:rsidP="00B719EA">
            <w:pPr>
              <w:keepNext/>
              <w:keepLines/>
              <w:rPr>
                <w:rFonts w:ascii="Arial" w:hAnsi="Arial" w:cs="Arial"/>
                <w:sz w:val="20"/>
                <w:szCs w:val="20"/>
              </w:rPr>
            </w:pPr>
            <w:r w:rsidRPr="00B719EA">
              <w:rPr>
                <w:rFonts w:ascii="Arial" w:hAnsi="Arial" w:cs="Arial"/>
                <w:sz w:val="20"/>
                <w:szCs w:val="20"/>
              </w:rPr>
              <w:t>Friday</w:t>
            </w:r>
          </w:p>
        </w:tc>
        <w:tc>
          <w:tcPr>
            <w:tcW w:w="0" w:type="auto"/>
          </w:tcPr>
          <w:p w14:paraId="527CBA00" w14:textId="420E7281" w:rsidR="00B719EA" w:rsidRPr="00B719EA" w:rsidRDefault="00B719EA" w:rsidP="00B719EA">
            <w:pPr>
              <w:jc w:val="right"/>
              <w:rPr>
                <w:rFonts w:ascii="Arial" w:hAnsi="Arial" w:cs="Arial"/>
                <w:sz w:val="20"/>
                <w:szCs w:val="20"/>
              </w:rPr>
            </w:pPr>
          </w:p>
        </w:tc>
        <w:tc>
          <w:tcPr>
            <w:tcW w:w="0" w:type="auto"/>
          </w:tcPr>
          <w:p w14:paraId="15F86B05" w14:textId="063F3630" w:rsidR="00B719EA" w:rsidRPr="00B719EA" w:rsidRDefault="00B719EA" w:rsidP="00B719EA">
            <w:pPr>
              <w:jc w:val="right"/>
              <w:rPr>
                <w:rFonts w:ascii="Arial" w:hAnsi="Arial" w:cs="Arial"/>
                <w:sz w:val="20"/>
                <w:szCs w:val="20"/>
              </w:rPr>
            </w:pPr>
          </w:p>
        </w:tc>
        <w:tc>
          <w:tcPr>
            <w:tcW w:w="0" w:type="auto"/>
          </w:tcPr>
          <w:p w14:paraId="762E4A32" w14:textId="263CD189" w:rsidR="00B719EA" w:rsidRPr="00B719EA" w:rsidRDefault="00B719EA" w:rsidP="00B719EA">
            <w:pPr>
              <w:jc w:val="right"/>
              <w:rPr>
                <w:rFonts w:ascii="Arial" w:hAnsi="Arial" w:cs="Arial"/>
                <w:sz w:val="20"/>
                <w:szCs w:val="20"/>
              </w:rPr>
            </w:pPr>
          </w:p>
        </w:tc>
        <w:tc>
          <w:tcPr>
            <w:tcW w:w="0" w:type="auto"/>
          </w:tcPr>
          <w:p w14:paraId="68E166E2" w14:textId="38A17CC8" w:rsidR="00B719EA" w:rsidRPr="00B719EA" w:rsidRDefault="00B719EA" w:rsidP="00B719EA">
            <w:pPr>
              <w:jc w:val="right"/>
              <w:rPr>
                <w:rFonts w:ascii="Arial" w:hAnsi="Arial" w:cs="Arial"/>
                <w:sz w:val="20"/>
                <w:szCs w:val="20"/>
              </w:rPr>
            </w:pPr>
          </w:p>
        </w:tc>
      </w:tr>
      <w:tr w:rsidR="00F54A8F" w14:paraId="57F413DD" w14:textId="77777777" w:rsidTr="00FF7D13">
        <w:trPr>
          <w:jc w:val="center"/>
        </w:trPr>
        <w:tc>
          <w:tcPr>
            <w:tcW w:w="1219" w:type="dxa"/>
            <w:vMerge/>
            <w:vAlign w:val="center"/>
          </w:tcPr>
          <w:p w14:paraId="5A208448" w14:textId="77777777" w:rsidR="00B719EA" w:rsidRPr="0058386F" w:rsidRDefault="00B719EA" w:rsidP="00B719EA">
            <w:pPr>
              <w:keepNext/>
              <w:keepLines/>
              <w:jc w:val="center"/>
              <w:rPr>
                <w:rFonts w:ascii="Arial" w:hAnsi="Arial" w:cs="Arial"/>
                <w:b/>
                <w:sz w:val="20"/>
                <w:szCs w:val="20"/>
              </w:rPr>
            </w:pPr>
          </w:p>
        </w:tc>
        <w:tc>
          <w:tcPr>
            <w:tcW w:w="761" w:type="dxa"/>
          </w:tcPr>
          <w:p w14:paraId="2C7F9E4A" w14:textId="3E3CBB13"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10</w:t>
            </w:r>
          </w:p>
        </w:tc>
        <w:tc>
          <w:tcPr>
            <w:tcW w:w="0" w:type="auto"/>
          </w:tcPr>
          <w:p w14:paraId="36E85872" w14:textId="3AE19F6B" w:rsidR="00B719EA" w:rsidRPr="00B719EA" w:rsidRDefault="00B719EA" w:rsidP="00B719EA">
            <w:pPr>
              <w:rPr>
                <w:rFonts w:ascii="Arial" w:hAnsi="Arial" w:cs="Arial"/>
                <w:color w:val="000000"/>
                <w:sz w:val="20"/>
                <w:szCs w:val="20"/>
              </w:rPr>
            </w:pPr>
            <w:r w:rsidRPr="00B719EA">
              <w:rPr>
                <w:rFonts w:ascii="Arial" w:hAnsi="Arial" w:cs="Arial"/>
                <w:sz w:val="20"/>
                <w:szCs w:val="20"/>
              </w:rPr>
              <w:t>9/12/2014</w:t>
            </w:r>
          </w:p>
        </w:tc>
        <w:tc>
          <w:tcPr>
            <w:tcW w:w="0" w:type="auto"/>
          </w:tcPr>
          <w:p w14:paraId="0A95E5E8" w14:textId="7CADABB3" w:rsidR="00B719EA" w:rsidRPr="00B719EA" w:rsidRDefault="00B719EA" w:rsidP="00B719EA">
            <w:pPr>
              <w:keepNext/>
              <w:keepLines/>
              <w:rPr>
                <w:rFonts w:ascii="Arial" w:hAnsi="Arial" w:cs="Arial"/>
                <w:sz w:val="20"/>
                <w:szCs w:val="20"/>
              </w:rPr>
            </w:pPr>
            <w:r w:rsidRPr="00B719EA">
              <w:rPr>
                <w:rFonts w:ascii="Arial" w:hAnsi="Arial" w:cs="Arial"/>
                <w:sz w:val="20"/>
                <w:szCs w:val="20"/>
              </w:rPr>
              <w:t>Friday</w:t>
            </w:r>
          </w:p>
        </w:tc>
        <w:tc>
          <w:tcPr>
            <w:tcW w:w="0" w:type="auto"/>
          </w:tcPr>
          <w:p w14:paraId="33A1BC9D" w14:textId="7B8117EC" w:rsidR="00B719EA" w:rsidRPr="00B719EA" w:rsidRDefault="00B719EA" w:rsidP="00B719EA">
            <w:pPr>
              <w:jc w:val="right"/>
              <w:rPr>
                <w:rFonts w:ascii="Arial" w:hAnsi="Arial" w:cs="Arial"/>
                <w:sz w:val="20"/>
                <w:szCs w:val="20"/>
              </w:rPr>
            </w:pPr>
          </w:p>
        </w:tc>
        <w:tc>
          <w:tcPr>
            <w:tcW w:w="0" w:type="auto"/>
          </w:tcPr>
          <w:p w14:paraId="5ECDA9E0" w14:textId="0351FDC5" w:rsidR="00B719EA" w:rsidRPr="00B719EA" w:rsidRDefault="00B719EA" w:rsidP="00B719EA">
            <w:pPr>
              <w:jc w:val="right"/>
              <w:rPr>
                <w:rFonts w:ascii="Arial" w:hAnsi="Arial" w:cs="Arial"/>
                <w:sz w:val="20"/>
                <w:szCs w:val="20"/>
              </w:rPr>
            </w:pPr>
          </w:p>
        </w:tc>
        <w:tc>
          <w:tcPr>
            <w:tcW w:w="0" w:type="auto"/>
          </w:tcPr>
          <w:p w14:paraId="12FAE439" w14:textId="5239828B" w:rsidR="00B719EA" w:rsidRPr="00B719EA" w:rsidRDefault="00B719EA" w:rsidP="00B719EA">
            <w:pPr>
              <w:jc w:val="right"/>
              <w:rPr>
                <w:rFonts w:ascii="Arial" w:hAnsi="Arial" w:cs="Arial"/>
                <w:sz w:val="20"/>
                <w:szCs w:val="20"/>
              </w:rPr>
            </w:pPr>
          </w:p>
        </w:tc>
        <w:tc>
          <w:tcPr>
            <w:tcW w:w="0" w:type="auto"/>
          </w:tcPr>
          <w:p w14:paraId="3E121D1F" w14:textId="3F4B9901" w:rsidR="00B719EA" w:rsidRPr="00B719EA" w:rsidRDefault="00B719EA" w:rsidP="00B719EA">
            <w:pPr>
              <w:jc w:val="right"/>
              <w:rPr>
                <w:rFonts w:ascii="Arial" w:hAnsi="Arial" w:cs="Arial"/>
                <w:sz w:val="20"/>
                <w:szCs w:val="20"/>
              </w:rPr>
            </w:pPr>
          </w:p>
        </w:tc>
      </w:tr>
      <w:tr w:rsidR="00F54A8F" w14:paraId="5131C304" w14:textId="77777777" w:rsidTr="00FF7D13">
        <w:trPr>
          <w:jc w:val="center"/>
        </w:trPr>
        <w:tc>
          <w:tcPr>
            <w:tcW w:w="1219" w:type="dxa"/>
            <w:vMerge/>
            <w:vAlign w:val="center"/>
          </w:tcPr>
          <w:p w14:paraId="3CF2984F" w14:textId="77777777" w:rsidR="00B719EA" w:rsidRPr="0058386F" w:rsidRDefault="00B719EA" w:rsidP="00B719EA">
            <w:pPr>
              <w:keepNext/>
              <w:keepLines/>
              <w:jc w:val="center"/>
              <w:rPr>
                <w:rFonts w:ascii="Arial" w:hAnsi="Arial" w:cs="Arial"/>
                <w:b/>
                <w:sz w:val="20"/>
                <w:szCs w:val="20"/>
              </w:rPr>
            </w:pPr>
          </w:p>
        </w:tc>
        <w:tc>
          <w:tcPr>
            <w:tcW w:w="761" w:type="dxa"/>
          </w:tcPr>
          <w:p w14:paraId="41C9DDE6" w14:textId="2DA0FE72"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11</w:t>
            </w:r>
          </w:p>
        </w:tc>
        <w:tc>
          <w:tcPr>
            <w:tcW w:w="0" w:type="auto"/>
          </w:tcPr>
          <w:p w14:paraId="78529A2A" w14:textId="144E1E2E" w:rsidR="00B719EA" w:rsidRPr="00B719EA" w:rsidRDefault="00B719EA" w:rsidP="00B719EA">
            <w:pPr>
              <w:rPr>
                <w:rFonts w:ascii="Arial" w:hAnsi="Arial" w:cs="Arial"/>
                <w:color w:val="000000"/>
                <w:sz w:val="20"/>
                <w:szCs w:val="20"/>
              </w:rPr>
            </w:pPr>
            <w:r w:rsidRPr="00B719EA">
              <w:rPr>
                <w:rFonts w:ascii="Arial" w:hAnsi="Arial" w:cs="Arial"/>
                <w:sz w:val="20"/>
                <w:szCs w:val="20"/>
              </w:rPr>
              <w:t>9/15/2014</w:t>
            </w:r>
          </w:p>
        </w:tc>
        <w:tc>
          <w:tcPr>
            <w:tcW w:w="0" w:type="auto"/>
          </w:tcPr>
          <w:p w14:paraId="13F146C1" w14:textId="13E8781F" w:rsidR="00B719EA" w:rsidRPr="00B719EA" w:rsidRDefault="00B719EA" w:rsidP="00B719EA">
            <w:pPr>
              <w:keepNext/>
              <w:keepLines/>
              <w:rPr>
                <w:rFonts w:ascii="Arial" w:hAnsi="Arial" w:cs="Arial"/>
                <w:sz w:val="20"/>
                <w:szCs w:val="20"/>
              </w:rPr>
            </w:pPr>
            <w:r w:rsidRPr="00B719EA">
              <w:rPr>
                <w:rFonts w:ascii="Arial" w:hAnsi="Arial" w:cs="Arial"/>
                <w:sz w:val="20"/>
                <w:szCs w:val="20"/>
              </w:rPr>
              <w:t>Monday</w:t>
            </w:r>
          </w:p>
        </w:tc>
        <w:tc>
          <w:tcPr>
            <w:tcW w:w="0" w:type="auto"/>
          </w:tcPr>
          <w:p w14:paraId="2A341994" w14:textId="77F2F04B" w:rsidR="00B719EA" w:rsidRPr="00B719EA" w:rsidRDefault="00B719EA" w:rsidP="00B719EA">
            <w:pPr>
              <w:jc w:val="right"/>
              <w:rPr>
                <w:rFonts w:ascii="Arial" w:hAnsi="Arial" w:cs="Arial"/>
                <w:sz w:val="20"/>
                <w:szCs w:val="20"/>
              </w:rPr>
            </w:pPr>
          </w:p>
        </w:tc>
        <w:tc>
          <w:tcPr>
            <w:tcW w:w="0" w:type="auto"/>
          </w:tcPr>
          <w:p w14:paraId="2BC616D6" w14:textId="7B90AABC" w:rsidR="00B719EA" w:rsidRPr="00B719EA" w:rsidRDefault="00B719EA" w:rsidP="00B719EA">
            <w:pPr>
              <w:jc w:val="right"/>
              <w:rPr>
                <w:rFonts w:ascii="Arial" w:hAnsi="Arial" w:cs="Arial"/>
                <w:sz w:val="20"/>
                <w:szCs w:val="20"/>
              </w:rPr>
            </w:pPr>
          </w:p>
        </w:tc>
        <w:tc>
          <w:tcPr>
            <w:tcW w:w="0" w:type="auto"/>
          </w:tcPr>
          <w:p w14:paraId="6966E1F0" w14:textId="1A6DA647" w:rsidR="00B719EA" w:rsidRPr="00B719EA" w:rsidRDefault="00B719EA" w:rsidP="00B719EA">
            <w:pPr>
              <w:jc w:val="right"/>
              <w:rPr>
                <w:rFonts w:ascii="Arial" w:hAnsi="Arial" w:cs="Arial"/>
                <w:sz w:val="20"/>
                <w:szCs w:val="20"/>
              </w:rPr>
            </w:pPr>
          </w:p>
        </w:tc>
        <w:tc>
          <w:tcPr>
            <w:tcW w:w="0" w:type="auto"/>
          </w:tcPr>
          <w:p w14:paraId="2AF697FE" w14:textId="227FC322" w:rsidR="00B719EA" w:rsidRPr="00B719EA" w:rsidRDefault="00B719EA" w:rsidP="00B719EA">
            <w:pPr>
              <w:jc w:val="right"/>
              <w:rPr>
                <w:rFonts w:ascii="Arial" w:hAnsi="Arial" w:cs="Arial"/>
                <w:sz w:val="20"/>
                <w:szCs w:val="20"/>
              </w:rPr>
            </w:pPr>
          </w:p>
        </w:tc>
      </w:tr>
      <w:tr w:rsidR="00F54A8F" w14:paraId="75D21FBD" w14:textId="77777777" w:rsidTr="00FF7D13">
        <w:trPr>
          <w:jc w:val="center"/>
        </w:trPr>
        <w:tc>
          <w:tcPr>
            <w:tcW w:w="1219" w:type="dxa"/>
            <w:vMerge/>
            <w:vAlign w:val="center"/>
          </w:tcPr>
          <w:p w14:paraId="71FCA83E" w14:textId="77777777" w:rsidR="00B719EA" w:rsidRPr="0058386F" w:rsidRDefault="00B719EA" w:rsidP="00B719EA">
            <w:pPr>
              <w:keepNext/>
              <w:keepLines/>
              <w:jc w:val="center"/>
              <w:rPr>
                <w:rFonts w:ascii="Arial" w:hAnsi="Arial" w:cs="Arial"/>
                <w:b/>
                <w:sz w:val="20"/>
                <w:szCs w:val="20"/>
              </w:rPr>
            </w:pPr>
          </w:p>
        </w:tc>
        <w:tc>
          <w:tcPr>
            <w:tcW w:w="761" w:type="dxa"/>
          </w:tcPr>
          <w:p w14:paraId="04CF50B5" w14:textId="4E118F6B" w:rsidR="00B719EA" w:rsidRPr="00B719EA" w:rsidRDefault="00B719EA" w:rsidP="00B719EA">
            <w:pPr>
              <w:keepNext/>
              <w:keepLines/>
              <w:jc w:val="center"/>
              <w:rPr>
                <w:rFonts w:ascii="Arial" w:hAnsi="Arial" w:cs="Arial"/>
                <w:sz w:val="20"/>
                <w:szCs w:val="20"/>
              </w:rPr>
            </w:pPr>
            <w:r w:rsidRPr="00B719EA">
              <w:rPr>
                <w:rFonts w:ascii="Arial" w:hAnsi="Arial" w:cs="Arial"/>
                <w:sz w:val="20"/>
                <w:szCs w:val="20"/>
              </w:rPr>
              <w:t>12</w:t>
            </w:r>
          </w:p>
        </w:tc>
        <w:tc>
          <w:tcPr>
            <w:tcW w:w="0" w:type="auto"/>
          </w:tcPr>
          <w:p w14:paraId="2057DEBC" w14:textId="31047EFF" w:rsidR="00B719EA" w:rsidRPr="00B719EA" w:rsidRDefault="00B719EA" w:rsidP="00B719EA">
            <w:pPr>
              <w:rPr>
                <w:rFonts w:ascii="Arial" w:hAnsi="Arial" w:cs="Arial"/>
                <w:color w:val="000000"/>
                <w:sz w:val="20"/>
                <w:szCs w:val="20"/>
              </w:rPr>
            </w:pPr>
            <w:r w:rsidRPr="00B719EA">
              <w:rPr>
                <w:rFonts w:ascii="Arial" w:hAnsi="Arial" w:cs="Arial"/>
                <w:sz w:val="20"/>
                <w:szCs w:val="20"/>
              </w:rPr>
              <w:t>9/16/2014</w:t>
            </w:r>
          </w:p>
        </w:tc>
        <w:tc>
          <w:tcPr>
            <w:tcW w:w="0" w:type="auto"/>
          </w:tcPr>
          <w:p w14:paraId="6608A7DD" w14:textId="616D8E6C" w:rsidR="00B719EA" w:rsidRPr="00B719EA" w:rsidRDefault="00B719EA" w:rsidP="00B719EA">
            <w:pPr>
              <w:keepNext/>
              <w:keepLines/>
              <w:rPr>
                <w:rFonts w:ascii="Arial" w:hAnsi="Arial" w:cs="Arial"/>
                <w:sz w:val="20"/>
                <w:szCs w:val="20"/>
              </w:rPr>
            </w:pPr>
            <w:r w:rsidRPr="00B719EA">
              <w:rPr>
                <w:rFonts w:ascii="Arial" w:hAnsi="Arial" w:cs="Arial"/>
                <w:sz w:val="20"/>
                <w:szCs w:val="20"/>
              </w:rPr>
              <w:t>Tuesday</w:t>
            </w:r>
          </w:p>
        </w:tc>
        <w:tc>
          <w:tcPr>
            <w:tcW w:w="0" w:type="auto"/>
          </w:tcPr>
          <w:p w14:paraId="751CB3C1" w14:textId="626F1E29" w:rsidR="00B719EA" w:rsidRPr="00B719EA" w:rsidRDefault="00B719EA" w:rsidP="00261E0A">
            <w:pPr>
              <w:jc w:val="right"/>
              <w:rPr>
                <w:rFonts w:ascii="Arial" w:hAnsi="Arial" w:cs="Arial"/>
                <w:sz w:val="20"/>
                <w:szCs w:val="20"/>
              </w:rPr>
            </w:pPr>
            <w:r w:rsidRPr="00B719EA">
              <w:rPr>
                <w:rFonts w:ascii="Arial" w:hAnsi="Arial" w:cs="Arial"/>
                <w:sz w:val="20"/>
                <w:szCs w:val="20"/>
              </w:rPr>
              <w:t>62</w:t>
            </w:r>
            <w:r w:rsidR="00261E0A">
              <w:rPr>
                <w:rFonts w:ascii="Arial" w:hAnsi="Arial" w:cs="Arial"/>
                <w:sz w:val="20"/>
                <w:szCs w:val="20"/>
              </w:rPr>
              <w:t>6</w:t>
            </w:r>
            <w:r w:rsidRPr="00B719EA">
              <w:rPr>
                <w:rFonts w:ascii="Arial" w:hAnsi="Arial" w:cs="Arial"/>
                <w:sz w:val="20"/>
                <w:szCs w:val="20"/>
              </w:rPr>
              <w:t>.2</w:t>
            </w:r>
          </w:p>
        </w:tc>
        <w:tc>
          <w:tcPr>
            <w:tcW w:w="0" w:type="auto"/>
          </w:tcPr>
          <w:p w14:paraId="6928F796" w14:textId="419C001A" w:rsidR="00B719EA" w:rsidRPr="00B719EA" w:rsidRDefault="00B719EA" w:rsidP="00B719EA">
            <w:pPr>
              <w:jc w:val="right"/>
              <w:rPr>
                <w:rFonts w:ascii="Arial" w:hAnsi="Arial" w:cs="Arial"/>
                <w:sz w:val="20"/>
                <w:szCs w:val="20"/>
              </w:rPr>
            </w:pPr>
            <w:r w:rsidRPr="00B719EA">
              <w:rPr>
                <w:rFonts w:ascii="Arial" w:hAnsi="Arial" w:cs="Arial"/>
                <w:sz w:val="20"/>
                <w:szCs w:val="20"/>
              </w:rPr>
              <w:t>599.4</w:t>
            </w:r>
          </w:p>
        </w:tc>
        <w:tc>
          <w:tcPr>
            <w:tcW w:w="0" w:type="auto"/>
          </w:tcPr>
          <w:p w14:paraId="63AF14B9" w14:textId="6000730D" w:rsidR="00B719EA" w:rsidRPr="00B719EA" w:rsidRDefault="00B719EA" w:rsidP="00261E0A">
            <w:pPr>
              <w:jc w:val="right"/>
              <w:rPr>
                <w:rFonts w:ascii="Arial" w:hAnsi="Arial" w:cs="Arial"/>
                <w:sz w:val="20"/>
                <w:szCs w:val="20"/>
              </w:rPr>
            </w:pPr>
            <w:r w:rsidRPr="00B719EA">
              <w:rPr>
                <w:rFonts w:ascii="Arial" w:hAnsi="Arial" w:cs="Arial"/>
                <w:sz w:val="20"/>
                <w:szCs w:val="20"/>
              </w:rPr>
              <w:t>2</w:t>
            </w:r>
            <w:r w:rsidR="00261E0A">
              <w:rPr>
                <w:rFonts w:ascii="Arial" w:hAnsi="Arial" w:cs="Arial"/>
                <w:sz w:val="20"/>
                <w:szCs w:val="20"/>
              </w:rPr>
              <w:t>6.8</w:t>
            </w:r>
          </w:p>
        </w:tc>
        <w:tc>
          <w:tcPr>
            <w:tcW w:w="0" w:type="auto"/>
          </w:tcPr>
          <w:p w14:paraId="4EBAF83D" w14:textId="26D78CC9" w:rsidR="00B719EA" w:rsidRPr="00B719EA" w:rsidRDefault="00B719EA" w:rsidP="00261E0A">
            <w:pPr>
              <w:jc w:val="right"/>
              <w:rPr>
                <w:rFonts w:ascii="Arial" w:hAnsi="Arial" w:cs="Arial"/>
                <w:sz w:val="20"/>
                <w:szCs w:val="20"/>
              </w:rPr>
            </w:pPr>
            <w:r w:rsidRPr="00B719EA">
              <w:rPr>
                <w:rFonts w:ascii="Arial" w:hAnsi="Arial" w:cs="Arial"/>
                <w:sz w:val="20"/>
                <w:szCs w:val="20"/>
              </w:rPr>
              <w:t>4.</w:t>
            </w:r>
            <w:r w:rsidR="00261E0A">
              <w:rPr>
                <w:rFonts w:ascii="Arial" w:hAnsi="Arial" w:cs="Arial"/>
                <w:sz w:val="20"/>
                <w:szCs w:val="20"/>
              </w:rPr>
              <w:t>3</w:t>
            </w:r>
            <w:r w:rsidRPr="00B719EA">
              <w:rPr>
                <w:rFonts w:ascii="Arial" w:hAnsi="Arial" w:cs="Arial"/>
                <w:sz w:val="20"/>
                <w:szCs w:val="20"/>
              </w:rPr>
              <w:t>%</w:t>
            </w:r>
          </w:p>
        </w:tc>
      </w:tr>
      <w:tr w:rsidR="00F54A8F" w14:paraId="76EBCB7B" w14:textId="77777777" w:rsidTr="00FF7D13">
        <w:trPr>
          <w:jc w:val="center"/>
        </w:trPr>
        <w:tc>
          <w:tcPr>
            <w:tcW w:w="1219" w:type="dxa"/>
            <w:vMerge/>
            <w:vAlign w:val="center"/>
          </w:tcPr>
          <w:p w14:paraId="19187EDD" w14:textId="77777777" w:rsidR="00B719EA" w:rsidRPr="0058386F" w:rsidRDefault="00B719EA" w:rsidP="00B719EA">
            <w:pPr>
              <w:keepNext/>
              <w:keepLines/>
              <w:jc w:val="center"/>
              <w:rPr>
                <w:rFonts w:ascii="Arial" w:hAnsi="Arial" w:cs="Arial"/>
                <w:b/>
                <w:sz w:val="20"/>
                <w:szCs w:val="20"/>
              </w:rPr>
            </w:pPr>
          </w:p>
        </w:tc>
        <w:tc>
          <w:tcPr>
            <w:tcW w:w="3149" w:type="dxa"/>
            <w:gridSpan w:val="3"/>
          </w:tcPr>
          <w:p w14:paraId="5BC798A9" w14:textId="77777777" w:rsidR="00B719EA" w:rsidRPr="0058386F" w:rsidRDefault="00B719EA" w:rsidP="00B719EA">
            <w:pPr>
              <w:keepNext/>
              <w:keepLines/>
              <w:jc w:val="right"/>
              <w:rPr>
                <w:rFonts w:ascii="Arial" w:hAnsi="Arial" w:cs="Arial"/>
                <w:b/>
                <w:sz w:val="20"/>
                <w:szCs w:val="20"/>
              </w:rPr>
            </w:pPr>
            <w:r w:rsidRPr="0058386F">
              <w:rPr>
                <w:rFonts w:ascii="Arial" w:hAnsi="Arial" w:cs="Arial"/>
                <w:b/>
                <w:sz w:val="20"/>
                <w:szCs w:val="20"/>
              </w:rPr>
              <w:t>Average</w:t>
            </w:r>
            <w:r>
              <w:rPr>
                <w:rFonts w:ascii="Arial" w:hAnsi="Arial" w:cs="Arial"/>
                <w:b/>
                <w:sz w:val="20"/>
                <w:szCs w:val="20"/>
              </w:rPr>
              <w:t xml:space="preserve"> when all called</w:t>
            </w:r>
          </w:p>
        </w:tc>
        <w:tc>
          <w:tcPr>
            <w:tcW w:w="0" w:type="auto"/>
          </w:tcPr>
          <w:p w14:paraId="133863F6" w14:textId="6BD49FE6" w:rsidR="00B719EA" w:rsidRPr="00B719EA" w:rsidRDefault="00261E0A" w:rsidP="00B719EA">
            <w:pPr>
              <w:jc w:val="right"/>
              <w:rPr>
                <w:rFonts w:ascii="Arial" w:hAnsi="Arial" w:cs="Arial"/>
                <w:b/>
                <w:sz w:val="20"/>
                <w:szCs w:val="20"/>
              </w:rPr>
            </w:pPr>
            <w:r>
              <w:rPr>
                <w:rFonts w:ascii="Arial" w:hAnsi="Arial" w:cs="Arial"/>
                <w:b/>
                <w:sz w:val="20"/>
                <w:szCs w:val="20"/>
              </w:rPr>
              <w:t>650.5</w:t>
            </w:r>
          </w:p>
        </w:tc>
        <w:tc>
          <w:tcPr>
            <w:tcW w:w="0" w:type="auto"/>
          </w:tcPr>
          <w:p w14:paraId="755FA2AA" w14:textId="40A39C92" w:rsidR="00B719EA" w:rsidRPr="00B719EA" w:rsidRDefault="00B719EA" w:rsidP="00B719EA">
            <w:pPr>
              <w:jc w:val="right"/>
              <w:rPr>
                <w:rFonts w:ascii="Arial" w:hAnsi="Arial" w:cs="Arial"/>
                <w:b/>
                <w:sz w:val="20"/>
                <w:szCs w:val="20"/>
              </w:rPr>
            </w:pPr>
            <w:r w:rsidRPr="00B719EA">
              <w:rPr>
                <w:rFonts w:ascii="Arial" w:hAnsi="Arial" w:cs="Arial"/>
                <w:b/>
                <w:sz w:val="20"/>
                <w:szCs w:val="20"/>
              </w:rPr>
              <w:t>625.5</w:t>
            </w:r>
          </w:p>
        </w:tc>
        <w:tc>
          <w:tcPr>
            <w:tcW w:w="0" w:type="auto"/>
          </w:tcPr>
          <w:p w14:paraId="70F04CD7" w14:textId="39D6EA12" w:rsidR="00B719EA" w:rsidRPr="00B719EA" w:rsidRDefault="00B719EA" w:rsidP="00261E0A">
            <w:pPr>
              <w:jc w:val="right"/>
              <w:rPr>
                <w:rFonts w:ascii="Arial" w:hAnsi="Arial" w:cs="Arial"/>
                <w:b/>
                <w:sz w:val="20"/>
                <w:szCs w:val="20"/>
              </w:rPr>
            </w:pPr>
            <w:r w:rsidRPr="00B719EA">
              <w:rPr>
                <w:rFonts w:ascii="Arial" w:hAnsi="Arial" w:cs="Arial"/>
                <w:b/>
                <w:sz w:val="20"/>
                <w:szCs w:val="20"/>
              </w:rPr>
              <w:t>2</w:t>
            </w:r>
            <w:r w:rsidR="00261E0A">
              <w:rPr>
                <w:rFonts w:ascii="Arial" w:hAnsi="Arial" w:cs="Arial"/>
                <w:b/>
                <w:sz w:val="20"/>
                <w:szCs w:val="20"/>
              </w:rPr>
              <w:t>5.0</w:t>
            </w:r>
          </w:p>
        </w:tc>
        <w:tc>
          <w:tcPr>
            <w:tcW w:w="0" w:type="auto"/>
          </w:tcPr>
          <w:p w14:paraId="4DC0C253" w14:textId="0DD5AE3B" w:rsidR="00B719EA" w:rsidRPr="00B719EA" w:rsidRDefault="00B719EA" w:rsidP="00B719EA">
            <w:pPr>
              <w:jc w:val="right"/>
              <w:rPr>
                <w:rFonts w:ascii="Arial" w:hAnsi="Arial" w:cs="Arial"/>
                <w:b/>
                <w:sz w:val="20"/>
                <w:szCs w:val="20"/>
              </w:rPr>
            </w:pPr>
            <w:r w:rsidRPr="00B719EA">
              <w:rPr>
                <w:rFonts w:ascii="Arial" w:hAnsi="Arial" w:cs="Arial"/>
                <w:b/>
                <w:sz w:val="20"/>
                <w:szCs w:val="20"/>
              </w:rPr>
              <w:t>3.8%</w:t>
            </w:r>
          </w:p>
        </w:tc>
      </w:tr>
      <w:tr w:rsidR="00F54A8F" w14:paraId="6CAEB55D" w14:textId="77777777" w:rsidTr="00FF7D13">
        <w:trPr>
          <w:jc w:val="center"/>
        </w:trPr>
        <w:tc>
          <w:tcPr>
            <w:tcW w:w="1219" w:type="dxa"/>
            <w:vMerge/>
            <w:vAlign w:val="center"/>
          </w:tcPr>
          <w:p w14:paraId="4EEA2C03" w14:textId="77777777" w:rsidR="0058386F" w:rsidRPr="0058386F" w:rsidRDefault="0058386F" w:rsidP="001753F1">
            <w:pPr>
              <w:keepNext/>
              <w:keepLines/>
              <w:jc w:val="center"/>
              <w:rPr>
                <w:rFonts w:ascii="Arial" w:hAnsi="Arial" w:cs="Arial"/>
                <w:b/>
                <w:sz w:val="20"/>
                <w:szCs w:val="20"/>
              </w:rPr>
            </w:pPr>
          </w:p>
        </w:tc>
        <w:tc>
          <w:tcPr>
            <w:tcW w:w="3149" w:type="dxa"/>
            <w:gridSpan w:val="3"/>
          </w:tcPr>
          <w:p w14:paraId="08A75286" w14:textId="52145C28" w:rsidR="0058386F" w:rsidRPr="0058386F" w:rsidRDefault="0058386F" w:rsidP="00D051DC">
            <w:pPr>
              <w:keepNext/>
              <w:keepLines/>
              <w:jc w:val="right"/>
              <w:rPr>
                <w:rFonts w:ascii="Arial" w:hAnsi="Arial" w:cs="Arial"/>
                <w:b/>
                <w:sz w:val="20"/>
                <w:szCs w:val="20"/>
              </w:rPr>
            </w:pPr>
            <w:r w:rsidRPr="0058386F">
              <w:rPr>
                <w:rFonts w:ascii="Arial" w:hAnsi="Arial" w:cs="Arial"/>
                <w:b/>
                <w:sz w:val="20"/>
                <w:szCs w:val="20"/>
              </w:rPr>
              <w:t>Std</w:t>
            </w:r>
            <w:r>
              <w:rPr>
                <w:rFonts w:ascii="Arial" w:hAnsi="Arial" w:cs="Arial"/>
                <w:b/>
                <w:sz w:val="20"/>
                <w:szCs w:val="20"/>
              </w:rPr>
              <w:t>.</w:t>
            </w:r>
            <w:r w:rsidRPr="0058386F">
              <w:rPr>
                <w:rFonts w:ascii="Arial" w:hAnsi="Arial" w:cs="Arial"/>
                <w:b/>
                <w:sz w:val="20"/>
                <w:szCs w:val="20"/>
              </w:rPr>
              <w:t xml:space="preserve"> </w:t>
            </w:r>
            <w:r w:rsidR="007C1AC7">
              <w:rPr>
                <w:rFonts w:ascii="Arial" w:hAnsi="Arial" w:cs="Arial"/>
                <w:b/>
                <w:sz w:val="20"/>
                <w:szCs w:val="20"/>
              </w:rPr>
              <w:t>d</w:t>
            </w:r>
            <w:r w:rsidRPr="0058386F">
              <w:rPr>
                <w:rFonts w:ascii="Arial" w:hAnsi="Arial" w:cs="Arial"/>
                <w:b/>
                <w:sz w:val="20"/>
                <w:szCs w:val="20"/>
              </w:rPr>
              <w:t>ev</w:t>
            </w:r>
            <w:r w:rsidR="007C1AC7">
              <w:rPr>
                <w:rFonts w:ascii="Arial" w:hAnsi="Arial" w:cs="Arial"/>
                <w:b/>
                <w:sz w:val="20"/>
                <w:szCs w:val="20"/>
              </w:rPr>
              <w:t xml:space="preserve">. </w:t>
            </w:r>
            <w:r w:rsidR="00D051DC">
              <w:rPr>
                <w:rFonts w:ascii="Arial" w:hAnsi="Arial" w:cs="Arial"/>
                <w:b/>
                <w:sz w:val="20"/>
                <w:szCs w:val="20"/>
              </w:rPr>
              <w:t>w</w:t>
            </w:r>
            <w:r w:rsidR="007C1AC7">
              <w:rPr>
                <w:rFonts w:ascii="Arial" w:hAnsi="Arial" w:cs="Arial"/>
                <w:b/>
                <w:sz w:val="20"/>
                <w:szCs w:val="20"/>
              </w:rPr>
              <w:t>hen all called</w:t>
            </w:r>
          </w:p>
        </w:tc>
        <w:tc>
          <w:tcPr>
            <w:tcW w:w="0" w:type="auto"/>
          </w:tcPr>
          <w:p w14:paraId="16159395" w14:textId="77777777" w:rsidR="0058386F" w:rsidRPr="0058386F" w:rsidRDefault="0058386F" w:rsidP="00312499">
            <w:pPr>
              <w:jc w:val="right"/>
              <w:rPr>
                <w:rFonts w:ascii="Arial" w:hAnsi="Arial" w:cs="Arial"/>
                <w:b/>
                <w:sz w:val="20"/>
                <w:szCs w:val="20"/>
              </w:rPr>
            </w:pPr>
          </w:p>
        </w:tc>
        <w:tc>
          <w:tcPr>
            <w:tcW w:w="0" w:type="auto"/>
          </w:tcPr>
          <w:p w14:paraId="54CB77BF" w14:textId="77777777" w:rsidR="0058386F" w:rsidRPr="0058386F" w:rsidRDefault="0058386F" w:rsidP="00312499">
            <w:pPr>
              <w:jc w:val="right"/>
              <w:rPr>
                <w:rFonts w:ascii="Arial" w:hAnsi="Arial" w:cs="Arial"/>
                <w:b/>
                <w:sz w:val="20"/>
                <w:szCs w:val="20"/>
              </w:rPr>
            </w:pPr>
          </w:p>
        </w:tc>
        <w:tc>
          <w:tcPr>
            <w:tcW w:w="0" w:type="auto"/>
          </w:tcPr>
          <w:p w14:paraId="1CBDB235" w14:textId="32947720" w:rsidR="0058386F" w:rsidRPr="0058386F" w:rsidRDefault="00B719EA" w:rsidP="00312499">
            <w:pPr>
              <w:jc w:val="right"/>
              <w:rPr>
                <w:rFonts w:ascii="Arial" w:hAnsi="Arial" w:cs="Arial"/>
                <w:b/>
                <w:sz w:val="20"/>
                <w:szCs w:val="20"/>
              </w:rPr>
            </w:pPr>
            <w:r>
              <w:rPr>
                <w:rFonts w:ascii="Arial" w:hAnsi="Arial" w:cs="Arial"/>
                <w:b/>
                <w:sz w:val="20"/>
                <w:szCs w:val="20"/>
              </w:rPr>
              <w:t>6.8</w:t>
            </w:r>
          </w:p>
        </w:tc>
        <w:tc>
          <w:tcPr>
            <w:tcW w:w="0" w:type="auto"/>
          </w:tcPr>
          <w:p w14:paraId="346A4A3C" w14:textId="077D76CE" w:rsidR="0058386F" w:rsidRPr="0058386F" w:rsidRDefault="00B719EA" w:rsidP="00312499">
            <w:pPr>
              <w:jc w:val="right"/>
              <w:rPr>
                <w:rFonts w:ascii="Arial" w:hAnsi="Arial" w:cs="Arial"/>
                <w:b/>
                <w:sz w:val="20"/>
                <w:szCs w:val="20"/>
              </w:rPr>
            </w:pPr>
            <w:r>
              <w:rPr>
                <w:rFonts w:ascii="Arial" w:hAnsi="Arial" w:cs="Arial"/>
                <w:b/>
                <w:sz w:val="20"/>
                <w:szCs w:val="20"/>
              </w:rPr>
              <w:t>1.1%</w:t>
            </w:r>
          </w:p>
        </w:tc>
      </w:tr>
      <w:tr w:rsidR="00F54A8F" w14:paraId="4C07E717" w14:textId="77777777" w:rsidTr="00FF7D13">
        <w:trPr>
          <w:jc w:val="center"/>
        </w:trPr>
        <w:tc>
          <w:tcPr>
            <w:tcW w:w="1219" w:type="dxa"/>
            <w:vMerge w:val="restart"/>
            <w:vAlign w:val="center"/>
          </w:tcPr>
          <w:p w14:paraId="05709B43" w14:textId="77777777" w:rsidR="00F54A8F" w:rsidRPr="0058386F" w:rsidRDefault="00F54A8F" w:rsidP="00F54A8F">
            <w:pPr>
              <w:keepNext/>
              <w:keepLines/>
              <w:jc w:val="center"/>
              <w:rPr>
                <w:rFonts w:ascii="Arial" w:hAnsi="Arial" w:cs="Arial"/>
                <w:b/>
                <w:sz w:val="20"/>
                <w:szCs w:val="20"/>
              </w:rPr>
            </w:pPr>
            <w:r w:rsidRPr="0058386F">
              <w:rPr>
                <w:rFonts w:ascii="Arial" w:hAnsi="Arial" w:cs="Arial"/>
                <w:b/>
                <w:sz w:val="20"/>
                <w:szCs w:val="20"/>
              </w:rPr>
              <w:t>Enrolled in DBP Only</w:t>
            </w:r>
          </w:p>
        </w:tc>
        <w:tc>
          <w:tcPr>
            <w:tcW w:w="761" w:type="dxa"/>
          </w:tcPr>
          <w:p w14:paraId="4C011129" w14:textId="7C3A1A04" w:rsidR="00F54A8F" w:rsidRPr="007E0A27" w:rsidRDefault="00F54A8F" w:rsidP="00F54A8F">
            <w:pPr>
              <w:keepNext/>
              <w:keepLines/>
              <w:jc w:val="center"/>
              <w:rPr>
                <w:rFonts w:ascii="Arial" w:hAnsi="Arial" w:cs="Arial"/>
                <w:sz w:val="20"/>
                <w:szCs w:val="20"/>
              </w:rPr>
            </w:pPr>
            <w:r w:rsidRPr="00B719EA">
              <w:rPr>
                <w:rFonts w:ascii="Arial" w:hAnsi="Arial" w:cs="Arial"/>
                <w:sz w:val="20"/>
                <w:szCs w:val="20"/>
              </w:rPr>
              <w:t>1</w:t>
            </w:r>
          </w:p>
        </w:tc>
        <w:tc>
          <w:tcPr>
            <w:tcW w:w="0" w:type="auto"/>
          </w:tcPr>
          <w:p w14:paraId="5FFC3818" w14:textId="48D95AFD" w:rsidR="00F54A8F" w:rsidRPr="00D71AD7" w:rsidRDefault="00F54A8F" w:rsidP="00F54A8F">
            <w:pPr>
              <w:rPr>
                <w:rFonts w:ascii="Arial" w:hAnsi="Arial" w:cs="Arial"/>
                <w:color w:val="000000"/>
                <w:sz w:val="20"/>
                <w:szCs w:val="20"/>
              </w:rPr>
            </w:pPr>
            <w:r w:rsidRPr="00B719EA">
              <w:rPr>
                <w:rFonts w:ascii="Arial" w:hAnsi="Arial" w:cs="Arial"/>
                <w:sz w:val="20"/>
                <w:szCs w:val="20"/>
              </w:rPr>
              <w:t>5/14/2014</w:t>
            </w:r>
          </w:p>
        </w:tc>
        <w:tc>
          <w:tcPr>
            <w:tcW w:w="0" w:type="auto"/>
          </w:tcPr>
          <w:p w14:paraId="6A00E7A1" w14:textId="541C4A23" w:rsidR="00F54A8F" w:rsidRPr="007E0A27" w:rsidRDefault="00F54A8F" w:rsidP="00F54A8F">
            <w:pPr>
              <w:keepNext/>
              <w:keepLines/>
              <w:rPr>
                <w:rFonts w:ascii="Arial" w:hAnsi="Arial" w:cs="Arial"/>
                <w:sz w:val="20"/>
                <w:szCs w:val="20"/>
              </w:rPr>
            </w:pPr>
            <w:r w:rsidRPr="00B719EA">
              <w:rPr>
                <w:rFonts w:ascii="Arial" w:hAnsi="Arial" w:cs="Arial"/>
                <w:sz w:val="20"/>
                <w:szCs w:val="20"/>
              </w:rPr>
              <w:t>Wednesday</w:t>
            </w:r>
          </w:p>
        </w:tc>
        <w:tc>
          <w:tcPr>
            <w:tcW w:w="0" w:type="auto"/>
          </w:tcPr>
          <w:p w14:paraId="3FC2EF71" w14:textId="02C537A3" w:rsidR="00F54A8F" w:rsidRPr="00F54A8F" w:rsidRDefault="00F54A8F" w:rsidP="00F54A8F">
            <w:pPr>
              <w:jc w:val="right"/>
              <w:rPr>
                <w:rFonts w:ascii="Arial" w:hAnsi="Arial" w:cs="Arial"/>
                <w:sz w:val="20"/>
                <w:szCs w:val="20"/>
              </w:rPr>
            </w:pPr>
            <w:r w:rsidRPr="00F54A8F">
              <w:rPr>
                <w:rFonts w:ascii="Arial" w:hAnsi="Arial" w:cs="Arial"/>
                <w:sz w:val="20"/>
                <w:szCs w:val="20"/>
              </w:rPr>
              <w:t>127.0</w:t>
            </w:r>
          </w:p>
        </w:tc>
        <w:tc>
          <w:tcPr>
            <w:tcW w:w="0" w:type="auto"/>
          </w:tcPr>
          <w:p w14:paraId="3468A7BB" w14:textId="4AE83AB0" w:rsidR="00F54A8F" w:rsidRPr="00F54A8F" w:rsidRDefault="00F54A8F" w:rsidP="00F54A8F">
            <w:pPr>
              <w:jc w:val="right"/>
              <w:rPr>
                <w:rFonts w:ascii="Arial" w:hAnsi="Arial" w:cs="Arial"/>
                <w:sz w:val="20"/>
                <w:szCs w:val="20"/>
              </w:rPr>
            </w:pPr>
            <w:r w:rsidRPr="00F54A8F">
              <w:rPr>
                <w:rFonts w:ascii="Arial" w:hAnsi="Arial" w:cs="Arial"/>
                <w:sz w:val="20"/>
                <w:szCs w:val="20"/>
              </w:rPr>
              <w:t>126.6</w:t>
            </w:r>
          </w:p>
        </w:tc>
        <w:tc>
          <w:tcPr>
            <w:tcW w:w="0" w:type="auto"/>
          </w:tcPr>
          <w:p w14:paraId="2DF77711" w14:textId="563B499E" w:rsidR="00F54A8F" w:rsidRPr="00F54A8F" w:rsidRDefault="00F54A8F" w:rsidP="00F54A8F">
            <w:pPr>
              <w:jc w:val="right"/>
              <w:rPr>
                <w:rFonts w:ascii="Arial" w:hAnsi="Arial" w:cs="Arial"/>
                <w:sz w:val="20"/>
                <w:szCs w:val="20"/>
              </w:rPr>
            </w:pPr>
            <w:r w:rsidRPr="00F54A8F">
              <w:rPr>
                <w:rFonts w:ascii="Arial" w:hAnsi="Arial" w:cs="Arial"/>
                <w:sz w:val="20"/>
                <w:szCs w:val="20"/>
              </w:rPr>
              <w:t>0.4</w:t>
            </w:r>
          </w:p>
        </w:tc>
        <w:tc>
          <w:tcPr>
            <w:tcW w:w="0" w:type="auto"/>
          </w:tcPr>
          <w:p w14:paraId="099FA19E" w14:textId="5374963A" w:rsidR="00F54A8F" w:rsidRPr="00F54A8F" w:rsidRDefault="00F54A8F" w:rsidP="00F54A8F">
            <w:pPr>
              <w:jc w:val="right"/>
              <w:rPr>
                <w:rFonts w:ascii="Arial" w:hAnsi="Arial" w:cs="Arial"/>
                <w:sz w:val="20"/>
                <w:szCs w:val="20"/>
              </w:rPr>
            </w:pPr>
            <w:r w:rsidRPr="00F54A8F">
              <w:rPr>
                <w:rFonts w:ascii="Arial" w:hAnsi="Arial" w:cs="Arial"/>
                <w:sz w:val="20"/>
                <w:szCs w:val="20"/>
              </w:rPr>
              <w:t>0.3%</w:t>
            </w:r>
          </w:p>
        </w:tc>
      </w:tr>
      <w:tr w:rsidR="00F54A8F" w14:paraId="6EBC6C0B" w14:textId="77777777" w:rsidTr="00FF7D13">
        <w:trPr>
          <w:jc w:val="center"/>
        </w:trPr>
        <w:tc>
          <w:tcPr>
            <w:tcW w:w="1219" w:type="dxa"/>
            <w:vMerge/>
          </w:tcPr>
          <w:p w14:paraId="66393C23" w14:textId="77777777" w:rsidR="00F54A8F" w:rsidRDefault="00F54A8F" w:rsidP="00F54A8F">
            <w:pPr>
              <w:keepNext/>
              <w:keepLines/>
              <w:jc w:val="center"/>
              <w:rPr>
                <w:rFonts w:ascii="Arial" w:hAnsi="Arial" w:cs="Arial"/>
                <w:sz w:val="20"/>
                <w:szCs w:val="20"/>
              </w:rPr>
            </w:pPr>
          </w:p>
        </w:tc>
        <w:tc>
          <w:tcPr>
            <w:tcW w:w="761" w:type="dxa"/>
          </w:tcPr>
          <w:p w14:paraId="3CC5024D" w14:textId="472A9C92" w:rsidR="00F54A8F" w:rsidRPr="007E0A27" w:rsidRDefault="00F54A8F" w:rsidP="00F54A8F">
            <w:pPr>
              <w:keepNext/>
              <w:keepLines/>
              <w:jc w:val="center"/>
              <w:rPr>
                <w:rFonts w:ascii="Arial" w:hAnsi="Arial" w:cs="Arial"/>
                <w:sz w:val="20"/>
                <w:szCs w:val="20"/>
              </w:rPr>
            </w:pPr>
            <w:r w:rsidRPr="00B719EA">
              <w:rPr>
                <w:rFonts w:ascii="Arial" w:hAnsi="Arial" w:cs="Arial"/>
                <w:sz w:val="20"/>
                <w:szCs w:val="20"/>
              </w:rPr>
              <w:t>2</w:t>
            </w:r>
          </w:p>
        </w:tc>
        <w:tc>
          <w:tcPr>
            <w:tcW w:w="0" w:type="auto"/>
          </w:tcPr>
          <w:p w14:paraId="6CF619EA" w14:textId="593C2992" w:rsidR="00F54A8F" w:rsidRPr="00D71AD7" w:rsidRDefault="00F54A8F" w:rsidP="00F54A8F">
            <w:pPr>
              <w:rPr>
                <w:rFonts w:ascii="Arial" w:hAnsi="Arial" w:cs="Arial"/>
                <w:color w:val="000000"/>
                <w:sz w:val="20"/>
                <w:szCs w:val="20"/>
              </w:rPr>
            </w:pPr>
            <w:r w:rsidRPr="00B719EA">
              <w:rPr>
                <w:rFonts w:ascii="Arial" w:hAnsi="Arial" w:cs="Arial"/>
                <w:sz w:val="20"/>
                <w:szCs w:val="20"/>
              </w:rPr>
              <w:t>6/30/2014</w:t>
            </w:r>
          </w:p>
        </w:tc>
        <w:tc>
          <w:tcPr>
            <w:tcW w:w="0" w:type="auto"/>
          </w:tcPr>
          <w:p w14:paraId="384D0CF6" w14:textId="32C08BB1" w:rsidR="00F54A8F" w:rsidRPr="007E0A27" w:rsidRDefault="00F54A8F" w:rsidP="00F54A8F">
            <w:pPr>
              <w:keepNext/>
              <w:keepLines/>
              <w:rPr>
                <w:rFonts w:ascii="Arial" w:hAnsi="Arial" w:cs="Arial"/>
                <w:sz w:val="20"/>
                <w:szCs w:val="20"/>
              </w:rPr>
            </w:pPr>
            <w:r w:rsidRPr="00B719EA">
              <w:rPr>
                <w:rFonts w:ascii="Arial" w:hAnsi="Arial" w:cs="Arial"/>
                <w:sz w:val="20"/>
                <w:szCs w:val="20"/>
              </w:rPr>
              <w:t>Monday</w:t>
            </w:r>
          </w:p>
        </w:tc>
        <w:tc>
          <w:tcPr>
            <w:tcW w:w="0" w:type="auto"/>
          </w:tcPr>
          <w:p w14:paraId="7EF70305" w14:textId="2B7579E6" w:rsidR="00F54A8F" w:rsidRPr="00F54A8F" w:rsidRDefault="00F54A8F" w:rsidP="00F54A8F">
            <w:pPr>
              <w:jc w:val="right"/>
              <w:rPr>
                <w:rFonts w:ascii="Arial" w:hAnsi="Arial" w:cs="Arial"/>
                <w:sz w:val="20"/>
                <w:szCs w:val="20"/>
              </w:rPr>
            </w:pPr>
            <w:r w:rsidRPr="00F54A8F">
              <w:rPr>
                <w:rFonts w:ascii="Arial" w:hAnsi="Arial" w:cs="Arial"/>
                <w:sz w:val="20"/>
                <w:szCs w:val="20"/>
              </w:rPr>
              <w:t>383.1</w:t>
            </w:r>
          </w:p>
        </w:tc>
        <w:tc>
          <w:tcPr>
            <w:tcW w:w="0" w:type="auto"/>
          </w:tcPr>
          <w:p w14:paraId="653BC5DC" w14:textId="207932A9" w:rsidR="00F54A8F" w:rsidRPr="00F54A8F" w:rsidRDefault="00F54A8F" w:rsidP="00F54A8F">
            <w:pPr>
              <w:jc w:val="right"/>
              <w:rPr>
                <w:rFonts w:ascii="Arial" w:hAnsi="Arial" w:cs="Arial"/>
                <w:sz w:val="20"/>
                <w:szCs w:val="20"/>
              </w:rPr>
            </w:pPr>
            <w:r w:rsidRPr="00F54A8F">
              <w:rPr>
                <w:rFonts w:ascii="Arial" w:hAnsi="Arial" w:cs="Arial"/>
                <w:sz w:val="20"/>
                <w:szCs w:val="20"/>
              </w:rPr>
              <w:t>382.7</w:t>
            </w:r>
          </w:p>
        </w:tc>
        <w:tc>
          <w:tcPr>
            <w:tcW w:w="0" w:type="auto"/>
          </w:tcPr>
          <w:p w14:paraId="41226A41" w14:textId="66F70A06" w:rsidR="00F54A8F" w:rsidRPr="00F54A8F" w:rsidRDefault="00F54A8F" w:rsidP="00F54A8F">
            <w:pPr>
              <w:jc w:val="right"/>
              <w:rPr>
                <w:rFonts w:ascii="Arial" w:hAnsi="Arial" w:cs="Arial"/>
                <w:sz w:val="20"/>
                <w:szCs w:val="20"/>
              </w:rPr>
            </w:pPr>
            <w:r w:rsidRPr="00F54A8F">
              <w:rPr>
                <w:rFonts w:ascii="Arial" w:hAnsi="Arial" w:cs="Arial"/>
                <w:sz w:val="20"/>
                <w:szCs w:val="20"/>
              </w:rPr>
              <w:t>0.4</w:t>
            </w:r>
          </w:p>
        </w:tc>
        <w:tc>
          <w:tcPr>
            <w:tcW w:w="0" w:type="auto"/>
          </w:tcPr>
          <w:p w14:paraId="60531794" w14:textId="2B0A5E4C" w:rsidR="00F54A8F" w:rsidRPr="00F54A8F" w:rsidRDefault="00F54A8F" w:rsidP="00F54A8F">
            <w:pPr>
              <w:jc w:val="right"/>
              <w:rPr>
                <w:rFonts w:ascii="Arial" w:hAnsi="Arial" w:cs="Arial"/>
                <w:sz w:val="20"/>
                <w:szCs w:val="20"/>
              </w:rPr>
            </w:pPr>
            <w:r w:rsidRPr="00F54A8F">
              <w:rPr>
                <w:rFonts w:ascii="Arial" w:hAnsi="Arial" w:cs="Arial"/>
                <w:sz w:val="20"/>
                <w:szCs w:val="20"/>
              </w:rPr>
              <w:t>0.1%</w:t>
            </w:r>
          </w:p>
        </w:tc>
      </w:tr>
      <w:tr w:rsidR="00F54A8F" w14:paraId="74BE2642" w14:textId="77777777" w:rsidTr="00FF7D13">
        <w:trPr>
          <w:jc w:val="center"/>
        </w:trPr>
        <w:tc>
          <w:tcPr>
            <w:tcW w:w="1219" w:type="dxa"/>
            <w:vMerge/>
          </w:tcPr>
          <w:p w14:paraId="4D89D5AF" w14:textId="77777777" w:rsidR="00F54A8F" w:rsidRDefault="00F54A8F" w:rsidP="00F54A8F">
            <w:pPr>
              <w:keepNext/>
              <w:keepLines/>
              <w:jc w:val="center"/>
              <w:rPr>
                <w:rFonts w:ascii="Arial" w:hAnsi="Arial" w:cs="Arial"/>
                <w:sz w:val="20"/>
                <w:szCs w:val="20"/>
              </w:rPr>
            </w:pPr>
          </w:p>
        </w:tc>
        <w:tc>
          <w:tcPr>
            <w:tcW w:w="761" w:type="dxa"/>
          </w:tcPr>
          <w:p w14:paraId="3BD785CC" w14:textId="0458462B" w:rsidR="00F54A8F" w:rsidRPr="007E0A27" w:rsidRDefault="00F54A8F" w:rsidP="00F54A8F">
            <w:pPr>
              <w:keepNext/>
              <w:keepLines/>
              <w:jc w:val="center"/>
              <w:rPr>
                <w:rFonts w:ascii="Arial" w:hAnsi="Arial" w:cs="Arial"/>
                <w:sz w:val="20"/>
                <w:szCs w:val="20"/>
              </w:rPr>
            </w:pPr>
            <w:r w:rsidRPr="00B719EA">
              <w:rPr>
                <w:rFonts w:ascii="Arial" w:hAnsi="Arial" w:cs="Arial"/>
                <w:sz w:val="20"/>
                <w:szCs w:val="20"/>
              </w:rPr>
              <w:t>3</w:t>
            </w:r>
          </w:p>
        </w:tc>
        <w:tc>
          <w:tcPr>
            <w:tcW w:w="0" w:type="auto"/>
          </w:tcPr>
          <w:p w14:paraId="5634BA2D" w14:textId="193AA3D7" w:rsidR="00F54A8F" w:rsidRPr="00D71AD7" w:rsidRDefault="00F54A8F" w:rsidP="00F54A8F">
            <w:pPr>
              <w:rPr>
                <w:rFonts w:ascii="Arial" w:hAnsi="Arial" w:cs="Arial"/>
                <w:color w:val="000000"/>
                <w:sz w:val="20"/>
                <w:szCs w:val="20"/>
              </w:rPr>
            </w:pPr>
            <w:r w:rsidRPr="00B719EA">
              <w:rPr>
                <w:rFonts w:ascii="Arial" w:hAnsi="Arial" w:cs="Arial"/>
                <w:sz w:val="20"/>
                <w:szCs w:val="20"/>
              </w:rPr>
              <w:t>7/7/2014</w:t>
            </w:r>
          </w:p>
        </w:tc>
        <w:tc>
          <w:tcPr>
            <w:tcW w:w="0" w:type="auto"/>
          </w:tcPr>
          <w:p w14:paraId="3FD72CBC" w14:textId="5E46E250" w:rsidR="00F54A8F" w:rsidRPr="007E0A27" w:rsidRDefault="00F54A8F" w:rsidP="00F54A8F">
            <w:pPr>
              <w:keepNext/>
              <w:keepLines/>
              <w:rPr>
                <w:rFonts w:ascii="Arial" w:hAnsi="Arial" w:cs="Arial"/>
                <w:sz w:val="20"/>
                <w:szCs w:val="20"/>
              </w:rPr>
            </w:pPr>
            <w:r w:rsidRPr="00B719EA">
              <w:rPr>
                <w:rFonts w:ascii="Arial" w:hAnsi="Arial" w:cs="Arial"/>
                <w:sz w:val="20"/>
                <w:szCs w:val="20"/>
              </w:rPr>
              <w:t>Monday</w:t>
            </w:r>
          </w:p>
        </w:tc>
        <w:tc>
          <w:tcPr>
            <w:tcW w:w="0" w:type="auto"/>
          </w:tcPr>
          <w:p w14:paraId="3CDC00B6" w14:textId="20B20262" w:rsidR="00F54A8F" w:rsidRPr="00F54A8F" w:rsidRDefault="00F54A8F" w:rsidP="00F54A8F">
            <w:pPr>
              <w:jc w:val="right"/>
              <w:rPr>
                <w:rFonts w:ascii="Arial" w:hAnsi="Arial" w:cs="Arial"/>
                <w:sz w:val="20"/>
                <w:szCs w:val="20"/>
              </w:rPr>
            </w:pPr>
            <w:r w:rsidRPr="00F54A8F">
              <w:rPr>
                <w:rFonts w:ascii="Arial" w:hAnsi="Arial" w:cs="Arial"/>
                <w:sz w:val="20"/>
                <w:szCs w:val="20"/>
              </w:rPr>
              <w:t>375.6</w:t>
            </w:r>
          </w:p>
        </w:tc>
        <w:tc>
          <w:tcPr>
            <w:tcW w:w="0" w:type="auto"/>
          </w:tcPr>
          <w:p w14:paraId="5F142CD8" w14:textId="1B7F0818" w:rsidR="00F54A8F" w:rsidRPr="00F54A8F" w:rsidRDefault="00F54A8F" w:rsidP="00F54A8F">
            <w:pPr>
              <w:jc w:val="right"/>
              <w:rPr>
                <w:rFonts w:ascii="Arial" w:hAnsi="Arial" w:cs="Arial"/>
                <w:sz w:val="20"/>
                <w:szCs w:val="20"/>
              </w:rPr>
            </w:pPr>
            <w:r w:rsidRPr="00F54A8F">
              <w:rPr>
                <w:rFonts w:ascii="Arial" w:hAnsi="Arial" w:cs="Arial"/>
                <w:sz w:val="20"/>
                <w:szCs w:val="20"/>
              </w:rPr>
              <w:t>374.8</w:t>
            </w:r>
          </w:p>
        </w:tc>
        <w:tc>
          <w:tcPr>
            <w:tcW w:w="0" w:type="auto"/>
          </w:tcPr>
          <w:p w14:paraId="2409356F" w14:textId="33DEA8F9" w:rsidR="00F54A8F" w:rsidRPr="00F54A8F" w:rsidRDefault="00F54A8F" w:rsidP="00F54A8F">
            <w:pPr>
              <w:jc w:val="right"/>
              <w:rPr>
                <w:rFonts w:ascii="Arial" w:hAnsi="Arial" w:cs="Arial"/>
                <w:sz w:val="20"/>
                <w:szCs w:val="20"/>
              </w:rPr>
            </w:pPr>
            <w:r w:rsidRPr="00F54A8F">
              <w:rPr>
                <w:rFonts w:ascii="Arial" w:hAnsi="Arial" w:cs="Arial"/>
                <w:sz w:val="20"/>
                <w:szCs w:val="20"/>
              </w:rPr>
              <w:t>0.8</w:t>
            </w:r>
          </w:p>
        </w:tc>
        <w:tc>
          <w:tcPr>
            <w:tcW w:w="0" w:type="auto"/>
          </w:tcPr>
          <w:p w14:paraId="1053AA6F" w14:textId="62396159" w:rsidR="00F54A8F" w:rsidRPr="00F54A8F" w:rsidRDefault="00F54A8F" w:rsidP="00F54A8F">
            <w:pPr>
              <w:jc w:val="right"/>
              <w:rPr>
                <w:rFonts w:ascii="Arial" w:hAnsi="Arial" w:cs="Arial"/>
                <w:sz w:val="20"/>
                <w:szCs w:val="20"/>
              </w:rPr>
            </w:pPr>
            <w:r w:rsidRPr="00F54A8F">
              <w:rPr>
                <w:rFonts w:ascii="Arial" w:hAnsi="Arial" w:cs="Arial"/>
                <w:sz w:val="20"/>
                <w:szCs w:val="20"/>
              </w:rPr>
              <w:t>0.2%</w:t>
            </w:r>
          </w:p>
        </w:tc>
      </w:tr>
      <w:tr w:rsidR="00F54A8F" w14:paraId="65658073" w14:textId="77777777" w:rsidTr="00FF7D13">
        <w:trPr>
          <w:jc w:val="center"/>
        </w:trPr>
        <w:tc>
          <w:tcPr>
            <w:tcW w:w="1219" w:type="dxa"/>
            <w:vMerge/>
          </w:tcPr>
          <w:p w14:paraId="3DCEAC2F" w14:textId="77777777" w:rsidR="00F54A8F" w:rsidRDefault="00F54A8F" w:rsidP="00F54A8F">
            <w:pPr>
              <w:keepNext/>
              <w:keepLines/>
              <w:jc w:val="center"/>
              <w:rPr>
                <w:rFonts w:ascii="Arial" w:hAnsi="Arial" w:cs="Arial"/>
                <w:sz w:val="20"/>
                <w:szCs w:val="20"/>
              </w:rPr>
            </w:pPr>
          </w:p>
        </w:tc>
        <w:tc>
          <w:tcPr>
            <w:tcW w:w="761" w:type="dxa"/>
          </w:tcPr>
          <w:p w14:paraId="3CB06ACE" w14:textId="1E5A7E7C" w:rsidR="00F54A8F" w:rsidRDefault="00F54A8F" w:rsidP="00F54A8F">
            <w:pPr>
              <w:keepNext/>
              <w:keepLines/>
              <w:jc w:val="center"/>
              <w:rPr>
                <w:rFonts w:ascii="Arial" w:hAnsi="Arial" w:cs="Arial"/>
                <w:sz w:val="20"/>
                <w:szCs w:val="20"/>
              </w:rPr>
            </w:pPr>
            <w:r w:rsidRPr="00B719EA">
              <w:rPr>
                <w:rFonts w:ascii="Arial" w:hAnsi="Arial" w:cs="Arial"/>
                <w:sz w:val="20"/>
                <w:szCs w:val="20"/>
              </w:rPr>
              <w:t>4</w:t>
            </w:r>
          </w:p>
        </w:tc>
        <w:tc>
          <w:tcPr>
            <w:tcW w:w="0" w:type="auto"/>
          </w:tcPr>
          <w:p w14:paraId="56FE319C" w14:textId="430F9C05" w:rsidR="00F54A8F" w:rsidRPr="00D71AD7" w:rsidRDefault="00F54A8F" w:rsidP="00F54A8F">
            <w:pPr>
              <w:rPr>
                <w:rFonts w:ascii="Arial" w:hAnsi="Arial" w:cs="Arial"/>
                <w:color w:val="000000"/>
                <w:sz w:val="20"/>
                <w:szCs w:val="20"/>
              </w:rPr>
            </w:pPr>
            <w:r w:rsidRPr="00B719EA">
              <w:rPr>
                <w:rFonts w:ascii="Arial" w:hAnsi="Arial" w:cs="Arial"/>
                <w:sz w:val="20"/>
                <w:szCs w:val="20"/>
              </w:rPr>
              <w:t>7/14/2014</w:t>
            </w:r>
          </w:p>
        </w:tc>
        <w:tc>
          <w:tcPr>
            <w:tcW w:w="0" w:type="auto"/>
          </w:tcPr>
          <w:p w14:paraId="70C2002A" w14:textId="05FD86EA" w:rsidR="00F54A8F" w:rsidRDefault="00F54A8F" w:rsidP="00F54A8F">
            <w:pPr>
              <w:keepNext/>
              <w:keepLines/>
              <w:rPr>
                <w:rFonts w:ascii="Arial" w:hAnsi="Arial" w:cs="Arial"/>
                <w:sz w:val="20"/>
                <w:szCs w:val="20"/>
              </w:rPr>
            </w:pPr>
            <w:r w:rsidRPr="00B719EA">
              <w:rPr>
                <w:rFonts w:ascii="Arial" w:hAnsi="Arial" w:cs="Arial"/>
                <w:sz w:val="20"/>
                <w:szCs w:val="20"/>
              </w:rPr>
              <w:t>Monday</w:t>
            </w:r>
          </w:p>
        </w:tc>
        <w:tc>
          <w:tcPr>
            <w:tcW w:w="0" w:type="auto"/>
          </w:tcPr>
          <w:p w14:paraId="5D8D4AEF" w14:textId="6C457025" w:rsidR="00F54A8F" w:rsidRPr="00F54A8F" w:rsidRDefault="00F54A8F" w:rsidP="00F54A8F">
            <w:pPr>
              <w:jc w:val="right"/>
              <w:rPr>
                <w:rFonts w:ascii="Arial" w:hAnsi="Arial" w:cs="Arial"/>
                <w:sz w:val="20"/>
                <w:szCs w:val="20"/>
              </w:rPr>
            </w:pPr>
          </w:p>
        </w:tc>
        <w:tc>
          <w:tcPr>
            <w:tcW w:w="0" w:type="auto"/>
          </w:tcPr>
          <w:p w14:paraId="1080A073" w14:textId="4930B2BA" w:rsidR="00F54A8F" w:rsidRPr="00F54A8F" w:rsidRDefault="00F54A8F" w:rsidP="00F54A8F">
            <w:pPr>
              <w:jc w:val="right"/>
              <w:rPr>
                <w:rFonts w:ascii="Arial" w:hAnsi="Arial" w:cs="Arial"/>
                <w:sz w:val="20"/>
                <w:szCs w:val="20"/>
              </w:rPr>
            </w:pPr>
          </w:p>
        </w:tc>
        <w:tc>
          <w:tcPr>
            <w:tcW w:w="0" w:type="auto"/>
          </w:tcPr>
          <w:p w14:paraId="3198054A" w14:textId="25C31CB3" w:rsidR="00F54A8F" w:rsidRPr="00F54A8F" w:rsidRDefault="00F54A8F" w:rsidP="00F54A8F">
            <w:pPr>
              <w:jc w:val="right"/>
              <w:rPr>
                <w:rFonts w:ascii="Arial" w:hAnsi="Arial" w:cs="Arial"/>
                <w:sz w:val="20"/>
                <w:szCs w:val="20"/>
              </w:rPr>
            </w:pPr>
          </w:p>
        </w:tc>
        <w:tc>
          <w:tcPr>
            <w:tcW w:w="0" w:type="auto"/>
          </w:tcPr>
          <w:p w14:paraId="300FB37D" w14:textId="3DF97325" w:rsidR="00F54A8F" w:rsidRPr="00F54A8F" w:rsidRDefault="00F54A8F" w:rsidP="00FF7D13">
            <w:pPr>
              <w:jc w:val="right"/>
              <w:rPr>
                <w:rFonts w:ascii="Arial" w:hAnsi="Arial" w:cs="Arial"/>
                <w:sz w:val="20"/>
                <w:szCs w:val="20"/>
              </w:rPr>
            </w:pPr>
          </w:p>
        </w:tc>
      </w:tr>
      <w:tr w:rsidR="00F54A8F" w14:paraId="1A2DE933" w14:textId="77777777" w:rsidTr="00FF7D13">
        <w:trPr>
          <w:jc w:val="center"/>
        </w:trPr>
        <w:tc>
          <w:tcPr>
            <w:tcW w:w="1219" w:type="dxa"/>
            <w:vMerge/>
          </w:tcPr>
          <w:p w14:paraId="0F0B0277" w14:textId="77777777" w:rsidR="00F54A8F" w:rsidRDefault="00F54A8F" w:rsidP="00F54A8F">
            <w:pPr>
              <w:keepNext/>
              <w:keepLines/>
              <w:jc w:val="center"/>
              <w:rPr>
                <w:rFonts w:ascii="Arial" w:hAnsi="Arial" w:cs="Arial"/>
                <w:sz w:val="20"/>
                <w:szCs w:val="20"/>
              </w:rPr>
            </w:pPr>
          </w:p>
        </w:tc>
        <w:tc>
          <w:tcPr>
            <w:tcW w:w="761" w:type="dxa"/>
          </w:tcPr>
          <w:p w14:paraId="346A3BE4" w14:textId="6A2D6658" w:rsidR="00F54A8F" w:rsidRDefault="00F54A8F" w:rsidP="00F54A8F">
            <w:pPr>
              <w:keepNext/>
              <w:keepLines/>
              <w:jc w:val="center"/>
              <w:rPr>
                <w:rFonts w:ascii="Arial" w:hAnsi="Arial" w:cs="Arial"/>
                <w:sz w:val="20"/>
                <w:szCs w:val="20"/>
              </w:rPr>
            </w:pPr>
            <w:r w:rsidRPr="00B719EA">
              <w:rPr>
                <w:rFonts w:ascii="Arial" w:hAnsi="Arial" w:cs="Arial"/>
                <w:sz w:val="20"/>
                <w:szCs w:val="20"/>
              </w:rPr>
              <w:t>5</w:t>
            </w:r>
          </w:p>
        </w:tc>
        <w:tc>
          <w:tcPr>
            <w:tcW w:w="0" w:type="auto"/>
          </w:tcPr>
          <w:p w14:paraId="6A885731" w14:textId="6ABC25AB" w:rsidR="00F54A8F" w:rsidRPr="00D71AD7" w:rsidRDefault="00F54A8F" w:rsidP="00F54A8F">
            <w:pPr>
              <w:rPr>
                <w:rFonts w:ascii="Arial" w:hAnsi="Arial" w:cs="Arial"/>
                <w:color w:val="000000"/>
                <w:sz w:val="20"/>
                <w:szCs w:val="20"/>
              </w:rPr>
            </w:pPr>
            <w:r w:rsidRPr="00B719EA">
              <w:rPr>
                <w:rFonts w:ascii="Arial" w:hAnsi="Arial" w:cs="Arial"/>
                <w:sz w:val="20"/>
                <w:szCs w:val="20"/>
              </w:rPr>
              <w:t>7/28/2014</w:t>
            </w:r>
          </w:p>
        </w:tc>
        <w:tc>
          <w:tcPr>
            <w:tcW w:w="0" w:type="auto"/>
          </w:tcPr>
          <w:p w14:paraId="0B85E9F1" w14:textId="4EFDF9F2" w:rsidR="00F54A8F" w:rsidRDefault="00F54A8F" w:rsidP="00F54A8F">
            <w:pPr>
              <w:keepNext/>
              <w:keepLines/>
              <w:rPr>
                <w:rFonts w:ascii="Arial" w:hAnsi="Arial" w:cs="Arial"/>
                <w:sz w:val="20"/>
                <w:szCs w:val="20"/>
              </w:rPr>
            </w:pPr>
            <w:r w:rsidRPr="00B719EA">
              <w:rPr>
                <w:rFonts w:ascii="Arial" w:hAnsi="Arial" w:cs="Arial"/>
                <w:sz w:val="20"/>
                <w:szCs w:val="20"/>
              </w:rPr>
              <w:t>Monday</w:t>
            </w:r>
          </w:p>
        </w:tc>
        <w:tc>
          <w:tcPr>
            <w:tcW w:w="0" w:type="auto"/>
          </w:tcPr>
          <w:p w14:paraId="2B6C6EAF" w14:textId="49C176AF" w:rsidR="00F54A8F" w:rsidRPr="00F54A8F" w:rsidRDefault="00F54A8F" w:rsidP="00F54A8F">
            <w:pPr>
              <w:jc w:val="right"/>
              <w:rPr>
                <w:rFonts w:ascii="Arial" w:hAnsi="Arial" w:cs="Arial"/>
                <w:sz w:val="20"/>
                <w:szCs w:val="20"/>
              </w:rPr>
            </w:pPr>
            <w:r w:rsidRPr="00F54A8F">
              <w:rPr>
                <w:rFonts w:ascii="Arial" w:hAnsi="Arial" w:cs="Arial"/>
                <w:sz w:val="20"/>
                <w:szCs w:val="20"/>
              </w:rPr>
              <w:t>397.5</w:t>
            </w:r>
          </w:p>
        </w:tc>
        <w:tc>
          <w:tcPr>
            <w:tcW w:w="0" w:type="auto"/>
          </w:tcPr>
          <w:p w14:paraId="79DF08E3" w14:textId="1DF2F7DC" w:rsidR="00F54A8F" w:rsidRPr="00F54A8F" w:rsidRDefault="00F54A8F" w:rsidP="00F54A8F">
            <w:pPr>
              <w:jc w:val="right"/>
              <w:rPr>
                <w:rFonts w:ascii="Arial" w:hAnsi="Arial" w:cs="Arial"/>
                <w:sz w:val="20"/>
                <w:szCs w:val="20"/>
              </w:rPr>
            </w:pPr>
            <w:r w:rsidRPr="00F54A8F">
              <w:rPr>
                <w:rFonts w:ascii="Arial" w:hAnsi="Arial" w:cs="Arial"/>
                <w:sz w:val="20"/>
                <w:szCs w:val="20"/>
              </w:rPr>
              <w:t>396.4</w:t>
            </w:r>
          </w:p>
        </w:tc>
        <w:tc>
          <w:tcPr>
            <w:tcW w:w="0" w:type="auto"/>
          </w:tcPr>
          <w:p w14:paraId="7C64DA15" w14:textId="0D1B7610" w:rsidR="00F54A8F" w:rsidRPr="00F54A8F" w:rsidRDefault="00F54A8F" w:rsidP="00F54A8F">
            <w:pPr>
              <w:jc w:val="right"/>
              <w:rPr>
                <w:rFonts w:ascii="Arial" w:hAnsi="Arial" w:cs="Arial"/>
                <w:sz w:val="20"/>
                <w:szCs w:val="20"/>
              </w:rPr>
            </w:pPr>
            <w:r w:rsidRPr="00F54A8F">
              <w:rPr>
                <w:rFonts w:ascii="Arial" w:hAnsi="Arial" w:cs="Arial"/>
                <w:sz w:val="20"/>
                <w:szCs w:val="20"/>
              </w:rPr>
              <w:t>1.1</w:t>
            </w:r>
          </w:p>
        </w:tc>
        <w:tc>
          <w:tcPr>
            <w:tcW w:w="0" w:type="auto"/>
          </w:tcPr>
          <w:p w14:paraId="440F4DF1" w14:textId="718CEDB2" w:rsidR="00F54A8F" w:rsidRPr="00F54A8F" w:rsidRDefault="00F54A8F" w:rsidP="00F54A8F">
            <w:pPr>
              <w:jc w:val="right"/>
              <w:rPr>
                <w:rFonts w:ascii="Arial" w:hAnsi="Arial" w:cs="Arial"/>
                <w:sz w:val="20"/>
                <w:szCs w:val="20"/>
              </w:rPr>
            </w:pPr>
            <w:r w:rsidRPr="00F54A8F">
              <w:rPr>
                <w:rFonts w:ascii="Arial" w:hAnsi="Arial" w:cs="Arial"/>
                <w:sz w:val="20"/>
                <w:szCs w:val="20"/>
              </w:rPr>
              <w:t>0.3%</w:t>
            </w:r>
          </w:p>
        </w:tc>
      </w:tr>
      <w:tr w:rsidR="00F54A8F" w14:paraId="663DCB16" w14:textId="77777777" w:rsidTr="00FF7D13">
        <w:trPr>
          <w:jc w:val="center"/>
        </w:trPr>
        <w:tc>
          <w:tcPr>
            <w:tcW w:w="1219" w:type="dxa"/>
            <w:vMerge/>
          </w:tcPr>
          <w:p w14:paraId="293F07E4" w14:textId="77777777" w:rsidR="00F54A8F" w:rsidRDefault="00F54A8F" w:rsidP="00F54A8F">
            <w:pPr>
              <w:keepNext/>
              <w:keepLines/>
              <w:jc w:val="center"/>
              <w:rPr>
                <w:rFonts w:ascii="Arial" w:hAnsi="Arial" w:cs="Arial"/>
                <w:sz w:val="20"/>
                <w:szCs w:val="20"/>
              </w:rPr>
            </w:pPr>
          </w:p>
        </w:tc>
        <w:tc>
          <w:tcPr>
            <w:tcW w:w="761" w:type="dxa"/>
          </w:tcPr>
          <w:p w14:paraId="721E8613" w14:textId="006A972E" w:rsidR="00F54A8F" w:rsidRDefault="00F54A8F" w:rsidP="00F54A8F">
            <w:pPr>
              <w:keepNext/>
              <w:keepLines/>
              <w:jc w:val="center"/>
              <w:rPr>
                <w:rFonts w:ascii="Arial" w:hAnsi="Arial" w:cs="Arial"/>
                <w:sz w:val="20"/>
                <w:szCs w:val="20"/>
              </w:rPr>
            </w:pPr>
            <w:r w:rsidRPr="00B719EA">
              <w:rPr>
                <w:rFonts w:ascii="Arial" w:hAnsi="Arial" w:cs="Arial"/>
                <w:sz w:val="20"/>
                <w:szCs w:val="20"/>
              </w:rPr>
              <w:t>6</w:t>
            </w:r>
          </w:p>
        </w:tc>
        <w:tc>
          <w:tcPr>
            <w:tcW w:w="0" w:type="auto"/>
          </w:tcPr>
          <w:p w14:paraId="180A7559" w14:textId="14366028" w:rsidR="00F54A8F" w:rsidRPr="00D71AD7" w:rsidRDefault="00F54A8F" w:rsidP="00F54A8F">
            <w:pPr>
              <w:rPr>
                <w:rFonts w:ascii="Arial" w:hAnsi="Arial" w:cs="Arial"/>
                <w:color w:val="000000"/>
                <w:sz w:val="20"/>
                <w:szCs w:val="20"/>
              </w:rPr>
            </w:pPr>
            <w:r w:rsidRPr="00B719EA">
              <w:rPr>
                <w:rFonts w:ascii="Arial" w:hAnsi="Arial" w:cs="Arial"/>
                <w:sz w:val="20"/>
                <w:szCs w:val="20"/>
              </w:rPr>
              <w:t>7/29/2014</w:t>
            </w:r>
          </w:p>
        </w:tc>
        <w:tc>
          <w:tcPr>
            <w:tcW w:w="0" w:type="auto"/>
          </w:tcPr>
          <w:p w14:paraId="6444A747" w14:textId="0513AAF7" w:rsidR="00F54A8F" w:rsidRDefault="00F54A8F" w:rsidP="00F54A8F">
            <w:pPr>
              <w:keepNext/>
              <w:keepLines/>
              <w:rPr>
                <w:rFonts w:ascii="Arial" w:hAnsi="Arial" w:cs="Arial"/>
                <w:sz w:val="20"/>
                <w:szCs w:val="20"/>
              </w:rPr>
            </w:pPr>
            <w:r w:rsidRPr="00B719EA">
              <w:rPr>
                <w:rFonts w:ascii="Arial" w:hAnsi="Arial" w:cs="Arial"/>
                <w:sz w:val="20"/>
                <w:szCs w:val="20"/>
              </w:rPr>
              <w:t>Tuesday</w:t>
            </w:r>
          </w:p>
        </w:tc>
        <w:tc>
          <w:tcPr>
            <w:tcW w:w="0" w:type="auto"/>
          </w:tcPr>
          <w:p w14:paraId="38D247BA" w14:textId="4687B41C" w:rsidR="00F54A8F" w:rsidRPr="00F54A8F" w:rsidRDefault="00F54A8F" w:rsidP="00F54A8F">
            <w:pPr>
              <w:jc w:val="right"/>
              <w:rPr>
                <w:rFonts w:ascii="Arial" w:hAnsi="Arial" w:cs="Arial"/>
                <w:sz w:val="20"/>
                <w:szCs w:val="20"/>
              </w:rPr>
            </w:pPr>
            <w:r w:rsidRPr="00F54A8F">
              <w:rPr>
                <w:rFonts w:ascii="Arial" w:hAnsi="Arial" w:cs="Arial"/>
                <w:sz w:val="20"/>
                <w:szCs w:val="20"/>
              </w:rPr>
              <w:t>394.5</w:t>
            </w:r>
          </w:p>
        </w:tc>
        <w:tc>
          <w:tcPr>
            <w:tcW w:w="0" w:type="auto"/>
          </w:tcPr>
          <w:p w14:paraId="76168ADA" w14:textId="5F15661E" w:rsidR="00F54A8F" w:rsidRPr="00F54A8F" w:rsidRDefault="00F54A8F" w:rsidP="00F54A8F">
            <w:pPr>
              <w:jc w:val="right"/>
              <w:rPr>
                <w:rFonts w:ascii="Arial" w:hAnsi="Arial" w:cs="Arial"/>
                <w:sz w:val="20"/>
                <w:szCs w:val="20"/>
              </w:rPr>
            </w:pPr>
            <w:r w:rsidRPr="00F54A8F">
              <w:rPr>
                <w:rFonts w:ascii="Arial" w:hAnsi="Arial" w:cs="Arial"/>
                <w:sz w:val="20"/>
                <w:szCs w:val="20"/>
              </w:rPr>
              <w:t>392.2</w:t>
            </w:r>
          </w:p>
        </w:tc>
        <w:tc>
          <w:tcPr>
            <w:tcW w:w="0" w:type="auto"/>
          </w:tcPr>
          <w:p w14:paraId="59D9B6B1" w14:textId="52FB85D5" w:rsidR="00F54A8F" w:rsidRPr="00F54A8F" w:rsidRDefault="00F54A8F" w:rsidP="00F54A8F">
            <w:pPr>
              <w:jc w:val="right"/>
              <w:rPr>
                <w:rFonts w:ascii="Arial" w:hAnsi="Arial" w:cs="Arial"/>
                <w:sz w:val="20"/>
                <w:szCs w:val="20"/>
              </w:rPr>
            </w:pPr>
            <w:r w:rsidRPr="00F54A8F">
              <w:rPr>
                <w:rFonts w:ascii="Arial" w:hAnsi="Arial" w:cs="Arial"/>
                <w:sz w:val="20"/>
                <w:szCs w:val="20"/>
              </w:rPr>
              <w:t>2.3</w:t>
            </w:r>
          </w:p>
        </w:tc>
        <w:tc>
          <w:tcPr>
            <w:tcW w:w="0" w:type="auto"/>
          </w:tcPr>
          <w:p w14:paraId="10429AEA" w14:textId="164A1CAA" w:rsidR="00F54A8F" w:rsidRPr="00F54A8F" w:rsidRDefault="00F54A8F" w:rsidP="00F54A8F">
            <w:pPr>
              <w:jc w:val="right"/>
              <w:rPr>
                <w:rFonts w:ascii="Arial" w:hAnsi="Arial" w:cs="Arial"/>
                <w:sz w:val="20"/>
                <w:szCs w:val="20"/>
              </w:rPr>
            </w:pPr>
            <w:r w:rsidRPr="00F54A8F">
              <w:rPr>
                <w:rFonts w:ascii="Arial" w:hAnsi="Arial" w:cs="Arial"/>
                <w:sz w:val="20"/>
                <w:szCs w:val="20"/>
              </w:rPr>
              <w:t>0.6%</w:t>
            </w:r>
          </w:p>
        </w:tc>
      </w:tr>
      <w:tr w:rsidR="00F54A8F" w14:paraId="6B719E99" w14:textId="77777777" w:rsidTr="00FF7D13">
        <w:trPr>
          <w:jc w:val="center"/>
        </w:trPr>
        <w:tc>
          <w:tcPr>
            <w:tcW w:w="1219" w:type="dxa"/>
            <w:vMerge/>
          </w:tcPr>
          <w:p w14:paraId="140AB5F7" w14:textId="77777777" w:rsidR="00F54A8F" w:rsidRDefault="00F54A8F" w:rsidP="00F54A8F">
            <w:pPr>
              <w:keepNext/>
              <w:keepLines/>
              <w:jc w:val="center"/>
              <w:rPr>
                <w:rFonts w:ascii="Arial" w:hAnsi="Arial" w:cs="Arial"/>
                <w:sz w:val="20"/>
                <w:szCs w:val="20"/>
              </w:rPr>
            </w:pPr>
          </w:p>
        </w:tc>
        <w:tc>
          <w:tcPr>
            <w:tcW w:w="761" w:type="dxa"/>
          </w:tcPr>
          <w:p w14:paraId="79F37475" w14:textId="5E9268D5" w:rsidR="00F54A8F" w:rsidRDefault="00F54A8F" w:rsidP="00F54A8F">
            <w:pPr>
              <w:keepNext/>
              <w:keepLines/>
              <w:jc w:val="center"/>
              <w:rPr>
                <w:rFonts w:ascii="Arial" w:hAnsi="Arial" w:cs="Arial"/>
                <w:sz w:val="20"/>
                <w:szCs w:val="20"/>
              </w:rPr>
            </w:pPr>
            <w:r w:rsidRPr="00B719EA">
              <w:rPr>
                <w:rFonts w:ascii="Arial" w:hAnsi="Arial" w:cs="Arial"/>
                <w:sz w:val="20"/>
                <w:szCs w:val="20"/>
              </w:rPr>
              <w:t>7</w:t>
            </w:r>
          </w:p>
        </w:tc>
        <w:tc>
          <w:tcPr>
            <w:tcW w:w="0" w:type="auto"/>
          </w:tcPr>
          <w:p w14:paraId="0BC7A165" w14:textId="31CCA42F" w:rsidR="00F54A8F" w:rsidRPr="00D71AD7" w:rsidRDefault="00F54A8F" w:rsidP="00F54A8F">
            <w:pPr>
              <w:rPr>
                <w:rFonts w:ascii="Arial" w:hAnsi="Arial" w:cs="Arial"/>
                <w:color w:val="000000"/>
                <w:sz w:val="20"/>
                <w:szCs w:val="20"/>
              </w:rPr>
            </w:pPr>
            <w:r w:rsidRPr="00B719EA">
              <w:rPr>
                <w:rFonts w:ascii="Arial" w:hAnsi="Arial" w:cs="Arial"/>
                <w:sz w:val="20"/>
                <w:szCs w:val="20"/>
              </w:rPr>
              <w:t>7/30/2014</w:t>
            </w:r>
          </w:p>
        </w:tc>
        <w:tc>
          <w:tcPr>
            <w:tcW w:w="0" w:type="auto"/>
          </w:tcPr>
          <w:p w14:paraId="048760F5" w14:textId="12C37758" w:rsidR="00F54A8F" w:rsidRDefault="00F54A8F" w:rsidP="00F54A8F">
            <w:pPr>
              <w:keepNext/>
              <w:keepLines/>
              <w:rPr>
                <w:rFonts w:ascii="Arial" w:hAnsi="Arial" w:cs="Arial"/>
                <w:sz w:val="20"/>
                <w:szCs w:val="20"/>
              </w:rPr>
            </w:pPr>
            <w:r w:rsidRPr="00B719EA">
              <w:rPr>
                <w:rFonts w:ascii="Arial" w:hAnsi="Arial" w:cs="Arial"/>
                <w:sz w:val="20"/>
                <w:szCs w:val="20"/>
              </w:rPr>
              <w:t>Wednesday</w:t>
            </w:r>
          </w:p>
        </w:tc>
        <w:tc>
          <w:tcPr>
            <w:tcW w:w="0" w:type="auto"/>
          </w:tcPr>
          <w:p w14:paraId="589F527F" w14:textId="343A68E5" w:rsidR="00F54A8F" w:rsidRPr="00F54A8F" w:rsidRDefault="00F54A8F" w:rsidP="00F54A8F">
            <w:pPr>
              <w:jc w:val="right"/>
              <w:rPr>
                <w:rFonts w:ascii="Arial" w:hAnsi="Arial" w:cs="Arial"/>
                <w:sz w:val="20"/>
                <w:szCs w:val="20"/>
              </w:rPr>
            </w:pPr>
            <w:r w:rsidRPr="00F54A8F">
              <w:rPr>
                <w:rFonts w:ascii="Arial" w:hAnsi="Arial" w:cs="Arial"/>
                <w:sz w:val="20"/>
                <w:szCs w:val="20"/>
              </w:rPr>
              <w:t>396.8</w:t>
            </w:r>
          </w:p>
        </w:tc>
        <w:tc>
          <w:tcPr>
            <w:tcW w:w="0" w:type="auto"/>
          </w:tcPr>
          <w:p w14:paraId="732CB484" w14:textId="3FD6E971" w:rsidR="00F54A8F" w:rsidRPr="00F54A8F" w:rsidRDefault="00F54A8F" w:rsidP="00F54A8F">
            <w:pPr>
              <w:jc w:val="right"/>
              <w:rPr>
                <w:rFonts w:ascii="Arial" w:hAnsi="Arial" w:cs="Arial"/>
                <w:sz w:val="20"/>
                <w:szCs w:val="20"/>
              </w:rPr>
            </w:pPr>
            <w:r w:rsidRPr="00F54A8F">
              <w:rPr>
                <w:rFonts w:ascii="Arial" w:hAnsi="Arial" w:cs="Arial"/>
                <w:sz w:val="20"/>
                <w:szCs w:val="20"/>
              </w:rPr>
              <w:t>395.4</w:t>
            </w:r>
          </w:p>
        </w:tc>
        <w:tc>
          <w:tcPr>
            <w:tcW w:w="0" w:type="auto"/>
          </w:tcPr>
          <w:p w14:paraId="151618C0" w14:textId="32C65C22" w:rsidR="00F54A8F" w:rsidRPr="00F54A8F" w:rsidRDefault="00F54A8F" w:rsidP="00F54A8F">
            <w:pPr>
              <w:jc w:val="right"/>
              <w:rPr>
                <w:rFonts w:ascii="Arial" w:hAnsi="Arial" w:cs="Arial"/>
                <w:sz w:val="20"/>
                <w:szCs w:val="20"/>
              </w:rPr>
            </w:pPr>
            <w:r w:rsidRPr="00F54A8F">
              <w:rPr>
                <w:rFonts w:ascii="Arial" w:hAnsi="Arial" w:cs="Arial"/>
                <w:sz w:val="20"/>
                <w:szCs w:val="20"/>
              </w:rPr>
              <w:t>1.5</w:t>
            </w:r>
          </w:p>
        </w:tc>
        <w:tc>
          <w:tcPr>
            <w:tcW w:w="0" w:type="auto"/>
          </w:tcPr>
          <w:p w14:paraId="0BC04DB4" w14:textId="7EC95426" w:rsidR="00F54A8F" w:rsidRPr="00F54A8F" w:rsidRDefault="00F54A8F" w:rsidP="00F54A8F">
            <w:pPr>
              <w:jc w:val="right"/>
              <w:rPr>
                <w:rFonts w:ascii="Arial" w:hAnsi="Arial" w:cs="Arial"/>
                <w:sz w:val="20"/>
                <w:szCs w:val="20"/>
              </w:rPr>
            </w:pPr>
            <w:r w:rsidRPr="00F54A8F">
              <w:rPr>
                <w:rFonts w:ascii="Arial" w:hAnsi="Arial" w:cs="Arial"/>
                <w:sz w:val="20"/>
                <w:szCs w:val="20"/>
              </w:rPr>
              <w:t>0.4%</w:t>
            </w:r>
          </w:p>
        </w:tc>
      </w:tr>
      <w:tr w:rsidR="00F54A8F" w14:paraId="570EF2D1" w14:textId="77777777" w:rsidTr="00FF7D13">
        <w:trPr>
          <w:jc w:val="center"/>
        </w:trPr>
        <w:tc>
          <w:tcPr>
            <w:tcW w:w="1219" w:type="dxa"/>
            <w:vMerge/>
          </w:tcPr>
          <w:p w14:paraId="7F9A0BA8" w14:textId="77777777" w:rsidR="00F54A8F" w:rsidRDefault="00F54A8F" w:rsidP="00F54A8F">
            <w:pPr>
              <w:keepNext/>
              <w:keepLines/>
              <w:jc w:val="center"/>
              <w:rPr>
                <w:rFonts w:ascii="Arial" w:hAnsi="Arial" w:cs="Arial"/>
                <w:sz w:val="20"/>
                <w:szCs w:val="20"/>
              </w:rPr>
            </w:pPr>
          </w:p>
        </w:tc>
        <w:tc>
          <w:tcPr>
            <w:tcW w:w="761" w:type="dxa"/>
          </w:tcPr>
          <w:p w14:paraId="53BE384C" w14:textId="6FC61D65" w:rsidR="00F54A8F" w:rsidRDefault="00F54A8F" w:rsidP="00F54A8F">
            <w:pPr>
              <w:keepNext/>
              <w:keepLines/>
              <w:jc w:val="center"/>
              <w:rPr>
                <w:rFonts w:ascii="Arial" w:hAnsi="Arial" w:cs="Arial"/>
                <w:sz w:val="20"/>
                <w:szCs w:val="20"/>
              </w:rPr>
            </w:pPr>
            <w:r w:rsidRPr="00B719EA">
              <w:rPr>
                <w:rFonts w:ascii="Arial" w:hAnsi="Arial" w:cs="Arial"/>
                <w:sz w:val="20"/>
                <w:szCs w:val="20"/>
              </w:rPr>
              <w:t>8</w:t>
            </w:r>
          </w:p>
        </w:tc>
        <w:tc>
          <w:tcPr>
            <w:tcW w:w="0" w:type="auto"/>
          </w:tcPr>
          <w:p w14:paraId="438296A6" w14:textId="1E628EE6" w:rsidR="00F54A8F" w:rsidRPr="00D71AD7" w:rsidRDefault="00F54A8F" w:rsidP="00F54A8F">
            <w:pPr>
              <w:rPr>
                <w:rFonts w:ascii="Arial" w:hAnsi="Arial" w:cs="Arial"/>
                <w:color w:val="000000"/>
                <w:sz w:val="20"/>
                <w:szCs w:val="20"/>
              </w:rPr>
            </w:pPr>
            <w:r w:rsidRPr="00B719EA">
              <w:rPr>
                <w:rFonts w:ascii="Arial" w:hAnsi="Arial" w:cs="Arial"/>
                <w:sz w:val="20"/>
                <w:szCs w:val="20"/>
              </w:rPr>
              <w:t>7/31/2014</w:t>
            </w:r>
          </w:p>
        </w:tc>
        <w:tc>
          <w:tcPr>
            <w:tcW w:w="0" w:type="auto"/>
          </w:tcPr>
          <w:p w14:paraId="03DA2C62" w14:textId="4610D3EA" w:rsidR="00F54A8F" w:rsidRDefault="00F54A8F" w:rsidP="00F54A8F">
            <w:pPr>
              <w:keepNext/>
              <w:keepLines/>
              <w:rPr>
                <w:rFonts w:ascii="Arial" w:hAnsi="Arial" w:cs="Arial"/>
                <w:sz w:val="20"/>
                <w:szCs w:val="20"/>
              </w:rPr>
            </w:pPr>
            <w:r w:rsidRPr="00B719EA">
              <w:rPr>
                <w:rFonts w:ascii="Arial" w:hAnsi="Arial" w:cs="Arial"/>
                <w:sz w:val="20"/>
                <w:szCs w:val="20"/>
              </w:rPr>
              <w:t>Thursday</w:t>
            </w:r>
          </w:p>
        </w:tc>
        <w:tc>
          <w:tcPr>
            <w:tcW w:w="0" w:type="auto"/>
          </w:tcPr>
          <w:p w14:paraId="63E5696A" w14:textId="0CAE20CE" w:rsidR="00F54A8F" w:rsidRPr="00F54A8F" w:rsidRDefault="00F54A8F" w:rsidP="00F54A8F">
            <w:pPr>
              <w:jc w:val="right"/>
              <w:rPr>
                <w:rFonts w:ascii="Arial" w:hAnsi="Arial" w:cs="Arial"/>
                <w:sz w:val="20"/>
                <w:szCs w:val="20"/>
              </w:rPr>
            </w:pPr>
            <w:r w:rsidRPr="00F54A8F">
              <w:rPr>
                <w:rFonts w:ascii="Arial" w:hAnsi="Arial" w:cs="Arial"/>
                <w:sz w:val="20"/>
                <w:szCs w:val="20"/>
              </w:rPr>
              <w:t>401.8</w:t>
            </w:r>
          </w:p>
        </w:tc>
        <w:tc>
          <w:tcPr>
            <w:tcW w:w="0" w:type="auto"/>
          </w:tcPr>
          <w:p w14:paraId="730A0216" w14:textId="0F2D4100" w:rsidR="00F54A8F" w:rsidRPr="00F54A8F" w:rsidRDefault="00F54A8F" w:rsidP="00F54A8F">
            <w:pPr>
              <w:jc w:val="right"/>
              <w:rPr>
                <w:rFonts w:ascii="Arial" w:hAnsi="Arial" w:cs="Arial"/>
                <w:sz w:val="20"/>
                <w:szCs w:val="20"/>
              </w:rPr>
            </w:pPr>
            <w:r w:rsidRPr="00F54A8F">
              <w:rPr>
                <w:rFonts w:ascii="Arial" w:hAnsi="Arial" w:cs="Arial"/>
                <w:sz w:val="20"/>
                <w:szCs w:val="20"/>
              </w:rPr>
              <w:t>400.8</w:t>
            </w:r>
          </w:p>
        </w:tc>
        <w:tc>
          <w:tcPr>
            <w:tcW w:w="0" w:type="auto"/>
          </w:tcPr>
          <w:p w14:paraId="61FF0C7D" w14:textId="56235F63" w:rsidR="00F54A8F" w:rsidRPr="00F54A8F" w:rsidRDefault="00F54A8F" w:rsidP="00F54A8F">
            <w:pPr>
              <w:jc w:val="right"/>
              <w:rPr>
                <w:rFonts w:ascii="Arial" w:hAnsi="Arial" w:cs="Arial"/>
                <w:sz w:val="20"/>
                <w:szCs w:val="20"/>
              </w:rPr>
            </w:pPr>
            <w:r w:rsidRPr="00F54A8F">
              <w:rPr>
                <w:rFonts w:ascii="Arial" w:hAnsi="Arial" w:cs="Arial"/>
                <w:sz w:val="20"/>
                <w:szCs w:val="20"/>
              </w:rPr>
              <w:t>0.9</w:t>
            </w:r>
          </w:p>
        </w:tc>
        <w:tc>
          <w:tcPr>
            <w:tcW w:w="0" w:type="auto"/>
          </w:tcPr>
          <w:p w14:paraId="108EF30D" w14:textId="260F3042" w:rsidR="00F54A8F" w:rsidRPr="00F54A8F" w:rsidRDefault="00F54A8F" w:rsidP="00F54A8F">
            <w:pPr>
              <w:jc w:val="right"/>
              <w:rPr>
                <w:rFonts w:ascii="Arial" w:hAnsi="Arial" w:cs="Arial"/>
                <w:sz w:val="20"/>
                <w:szCs w:val="20"/>
              </w:rPr>
            </w:pPr>
            <w:r w:rsidRPr="00F54A8F">
              <w:rPr>
                <w:rFonts w:ascii="Arial" w:hAnsi="Arial" w:cs="Arial"/>
                <w:sz w:val="20"/>
                <w:szCs w:val="20"/>
              </w:rPr>
              <w:t>0.2%</w:t>
            </w:r>
          </w:p>
        </w:tc>
      </w:tr>
      <w:tr w:rsidR="00F54A8F" w14:paraId="019FE042" w14:textId="77777777" w:rsidTr="00FF7D13">
        <w:trPr>
          <w:jc w:val="center"/>
        </w:trPr>
        <w:tc>
          <w:tcPr>
            <w:tcW w:w="1219" w:type="dxa"/>
            <w:vMerge/>
          </w:tcPr>
          <w:p w14:paraId="497A9924" w14:textId="77777777" w:rsidR="00F54A8F" w:rsidRDefault="00F54A8F" w:rsidP="00F54A8F">
            <w:pPr>
              <w:keepNext/>
              <w:keepLines/>
              <w:jc w:val="center"/>
              <w:rPr>
                <w:rFonts w:ascii="Arial" w:hAnsi="Arial" w:cs="Arial"/>
                <w:sz w:val="20"/>
                <w:szCs w:val="20"/>
              </w:rPr>
            </w:pPr>
          </w:p>
        </w:tc>
        <w:tc>
          <w:tcPr>
            <w:tcW w:w="761" w:type="dxa"/>
          </w:tcPr>
          <w:p w14:paraId="7F51D15E" w14:textId="0E9E80FE" w:rsidR="00F54A8F" w:rsidRDefault="00F54A8F" w:rsidP="00F54A8F">
            <w:pPr>
              <w:keepNext/>
              <w:keepLines/>
              <w:jc w:val="center"/>
              <w:rPr>
                <w:rFonts w:ascii="Arial" w:hAnsi="Arial" w:cs="Arial"/>
                <w:sz w:val="20"/>
                <w:szCs w:val="20"/>
              </w:rPr>
            </w:pPr>
            <w:r w:rsidRPr="00B719EA">
              <w:rPr>
                <w:rFonts w:ascii="Arial" w:hAnsi="Arial" w:cs="Arial"/>
                <w:sz w:val="20"/>
                <w:szCs w:val="20"/>
              </w:rPr>
              <w:t>9</w:t>
            </w:r>
          </w:p>
        </w:tc>
        <w:tc>
          <w:tcPr>
            <w:tcW w:w="0" w:type="auto"/>
          </w:tcPr>
          <w:p w14:paraId="00D9F472" w14:textId="71C74099" w:rsidR="00F54A8F" w:rsidRPr="00D71AD7" w:rsidRDefault="00F54A8F" w:rsidP="00F54A8F">
            <w:pPr>
              <w:rPr>
                <w:rFonts w:ascii="Arial" w:hAnsi="Arial" w:cs="Arial"/>
                <w:color w:val="000000"/>
                <w:sz w:val="20"/>
                <w:szCs w:val="20"/>
              </w:rPr>
            </w:pPr>
            <w:r w:rsidRPr="00B719EA">
              <w:rPr>
                <w:rFonts w:ascii="Arial" w:hAnsi="Arial" w:cs="Arial"/>
                <w:sz w:val="20"/>
                <w:szCs w:val="20"/>
              </w:rPr>
              <w:t>8/1/2014</w:t>
            </w:r>
          </w:p>
        </w:tc>
        <w:tc>
          <w:tcPr>
            <w:tcW w:w="0" w:type="auto"/>
          </w:tcPr>
          <w:p w14:paraId="44835F1A" w14:textId="040633DC" w:rsidR="00F54A8F" w:rsidRDefault="00F54A8F" w:rsidP="00F54A8F">
            <w:pPr>
              <w:keepNext/>
              <w:keepLines/>
              <w:rPr>
                <w:rFonts w:ascii="Arial" w:hAnsi="Arial" w:cs="Arial"/>
                <w:sz w:val="20"/>
                <w:szCs w:val="20"/>
              </w:rPr>
            </w:pPr>
            <w:r w:rsidRPr="00B719EA">
              <w:rPr>
                <w:rFonts w:ascii="Arial" w:hAnsi="Arial" w:cs="Arial"/>
                <w:sz w:val="20"/>
                <w:szCs w:val="20"/>
              </w:rPr>
              <w:t>Friday</w:t>
            </w:r>
          </w:p>
        </w:tc>
        <w:tc>
          <w:tcPr>
            <w:tcW w:w="0" w:type="auto"/>
          </w:tcPr>
          <w:p w14:paraId="7EE4504B" w14:textId="2FBB1EE8" w:rsidR="00F54A8F" w:rsidRPr="00F54A8F" w:rsidRDefault="00F54A8F" w:rsidP="00F54A8F">
            <w:pPr>
              <w:jc w:val="right"/>
              <w:rPr>
                <w:rFonts w:ascii="Arial" w:hAnsi="Arial" w:cs="Arial"/>
                <w:sz w:val="20"/>
                <w:szCs w:val="20"/>
              </w:rPr>
            </w:pPr>
            <w:r w:rsidRPr="00F54A8F">
              <w:rPr>
                <w:rFonts w:ascii="Arial" w:hAnsi="Arial" w:cs="Arial"/>
                <w:sz w:val="20"/>
                <w:szCs w:val="20"/>
              </w:rPr>
              <w:t>388.9</w:t>
            </w:r>
          </w:p>
        </w:tc>
        <w:tc>
          <w:tcPr>
            <w:tcW w:w="0" w:type="auto"/>
          </w:tcPr>
          <w:p w14:paraId="17E94F79" w14:textId="389D7656" w:rsidR="00F54A8F" w:rsidRPr="00F54A8F" w:rsidRDefault="00F54A8F" w:rsidP="00F54A8F">
            <w:pPr>
              <w:jc w:val="right"/>
              <w:rPr>
                <w:rFonts w:ascii="Arial" w:hAnsi="Arial" w:cs="Arial"/>
                <w:sz w:val="20"/>
                <w:szCs w:val="20"/>
              </w:rPr>
            </w:pPr>
            <w:r w:rsidRPr="00F54A8F">
              <w:rPr>
                <w:rFonts w:ascii="Arial" w:hAnsi="Arial" w:cs="Arial"/>
                <w:sz w:val="20"/>
                <w:szCs w:val="20"/>
              </w:rPr>
              <w:t>388.4</w:t>
            </w:r>
          </w:p>
        </w:tc>
        <w:tc>
          <w:tcPr>
            <w:tcW w:w="0" w:type="auto"/>
          </w:tcPr>
          <w:p w14:paraId="6C9AA31B" w14:textId="0BD182BC" w:rsidR="00F54A8F" w:rsidRPr="00F54A8F" w:rsidRDefault="00F54A8F" w:rsidP="00F54A8F">
            <w:pPr>
              <w:jc w:val="right"/>
              <w:rPr>
                <w:rFonts w:ascii="Arial" w:hAnsi="Arial" w:cs="Arial"/>
                <w:sz w:val="20"/>
                <w:szCs w:val="20"/>
              </w:rPr>
            </w:pPr>
            <w:r w:rsidRPr="00F54A8F">
              <w:rPr>
                <w:rFonts w:ascii="Arial" w:hAnsi="Arial" w:cs="Arial"/>
                <w:sz w:val="20"/>
                <w:szCs w:val="20"/>
              </w:rPr>
              <w:t>0.5</w:t>
            </w:r>
          </w:p>
        </w:tc>
        <w:tc>
          <w:tcPr>
            <w:tcW w:w="0" w:type="auto"/>
          </w:tcPr>
          <w:p w14:paraId="03702DF6" w14:textId="7F911054" w:rsidR="00F54A8F" w:rsidRPr="00F54A8F" w:rsidRDefault="00F54A8F" w:rsidP="00F54A8F">
            <w:pPr>
              <w:jc w:val="right"/>
              <w:rPr>
                <w:rFonts w:ascii="Arial" w:hAnsi="Arial" w:cs="Arial"/>
                <w:sz w:val="20"/>
                <w:szCs w:val="20"/>
              </w:rPr>
            </w:pPr>
            <w:r w:rsidRPr="00F54A8F">
              <w:rPr>
                <w:rFonts w:ascii="Arial" w:hAnsi="Arial" w:cs="Arial"/>
                <w:sz w:val="20"/>
                <w:szCs w:val="20"/>
              </w:rPr>
              <w:t>0.1%</w:t>
            </w:r>
          </w:p>
        </w:tc>
      </w:tr>
      <w:tr w:rsidR="00F54A8F" w14:paraId="17100670" w14:textId="77777777" w:rsidTr="00FF7D13">
        <w:trPr>
          <w:jc w:val="center"/>
        </w:trPr>
        <w:tc>
          <w:tcPr>
            <w:tcW w:w="1219" w:type="dxa"/>
            <w:vMerge/>
          </w:tcPr>
          <w:p w14:paraId="09FDDE3D" w14:textId="77777777" w:rsidR="00F54A8F" w:rsidRDefault="00F54A8F" w:rsidP="00F54A8F">
            <w:pPr>
              <w:keepNext/>
              <w:keepLines/>
              <w:jc w:val="center"/>
              <w:rPr>
                <w:rFonts w:ascii="Arial" w:hAnsi="Arial" w:cs="Arial"/>
                <w:sz w:val="20"/>
                <w:szCs w:val="20"/>
              </w:rPr>
            </w:pPr>
          </w:p>
        </w:tc>
        <w:tc>
          <w:tcPr>
            <w:tcW w:w="761" w:type="dxa"/>
          </w:tcPr>
          <w:p w14:paraId="6B436ECC" w14:textId="7D001F36" w:rsidR="00F54A8F" w:rsidRDefault="00F54A8F" w:rsidP="00F54A8F">
            <w:pPr>
              <w:keepNext/>
              <w:keepLines/>
              <w:jc w:val="center"/>
              <w:rPr>
                <w:rFonts w:ascii="Arial" w:hAnsi="Arial" w:cs="Arial"/>
                <w:sz w:val="20"/>
                <w:szCs w:val="20"/>
              </w:rPr>
            </w:pPr>
            <w:r w:rsidRPr="00B719EA">
              <w:rPr>
                <w:rFonts w:ascii="Arial" w:hAnsi="Arial" w:cs="Arial"/>
                <w:sz w:val="20"/>
                <w:szCs w:val="20"/>
              </w:rPr>
              <w:t>10</w:t>
            </w:r>
          </w:p>
        </w:tc>
        <w:tc>
          <w:tcPr>
            <w:tcW w:w="0" w:type="auto"/>
          </w:tcPr>
          <w:p w14:paraId="14FE817F" w14:textId="08BA65D6" w:rsidR="00F54A8F" w:rsidRPr="00D71AD7" w:rsidRDefault="00F54A8F" w:rsidP="00F54A8F">
            <w:pPr>
              <w:rPr>
                <w:rFonts w:ascii="Arial" w:hAnsi="Arial" w:cs="Arial"/>
                <w:color w:val="000000"/>
                <w:sz w:val="20"/>
                <w:szCs w:val="20"/>
              </w:rPr>
            </w:pPr>
            <w:r w:rsidRPr="00B719EA">
              <w:rPr>
                <w:rFonts w:ascii="Arial" w:hAnsi="Arial" w:cs="Arial"/>
                <w:sz w:val="20"/>
                <w:szCs w:val="20"/>
              </w:rPr>
              <w:t>9/12/2014</w:t>
            </w:r>
          </w:p>
        </w:tc>
        <w:tc>
          <w:tcPr>
            <w:tcW w:w="0" w:type="auto"/>
          </w:tcPr>
          <w:p w14:paraId="02BAA282" w14:textId="71E18919" w:rsidR="00F54A8F" w:rsidRDefault="00F54A8F" w:rsidP="00F54A8F">
            <w:pPr>
              <w:keepNext/>
              <w:keepLines/>
              <w:rPr>
                <w:rFonts w:ascii="Arial" w:hAnsi="Arial" w:cs="Arial"/>
                <w:sz w:val="20"/>
                <w:szCs w:val="20"/>
              </w:rPr>
            </w:pPr>
            <w:r w:rsidRPr="00B719EA">
              <w:rPr>
                <w:rFonts w:ascii="Arial" w:hAnsi="Arial" w:cs="Arial"/>
                <w:sz w:val="20"/>
                <w:szCs w:val="20"/>
              </w:rPr>
              <w:t>Friday</w:t>
            </w:r>
          </w:p>
        </w:tc>
        <w:tc>
          <w:tcPr>
            <w:tcW w:w="0" w:type="auto"/>
          </w:tcPr>
          <w:p w14:paraId="4CF8FFA3" w14:textId="5068BB26" w:rsidR="00F54A8F" w:rsidRPr="00F54A8F" w:rsidRDefault="00F54A8F" w:rsidP="00F54A8F">
            <w:pPr>
              <w:jc w:val="right"/>
              <w:rPr>
                <w:rFonts w:ascii="Arial" w:hAnsi="Arial" w:cs="Arial"/>
                <w:sz w:val="20"/>
                <w:szCs w:val="20"/>
              </w:rPr>
            </w:pPr>
          </w:p>
        </w:tc>
        <w:tc>
          <w:tcPr>
            <w:tcW w:w="0" w:type="auto"/>
          </w:tcPr>
          <w:p w14:paraId="0773E2B8" w14:textId="356A771F" w:rsidR="00F54A8F" w:rsidRPr="00F54A8F" w:rsidRDefault="00F54A8F" w:rsidP="00F54A8F">
            <w:pPr>
              <w:jc w:val="right"/>
              <w:rPr>
                <w:rFonts w:ascii="Arial" w:hAnsi="Arial" w:cs="Arial"/>
                <w:sz w:val="20"/>
                <w:szCs w:val="20"/>
              </w:rPr>
            </w:pPr>
          </w:p>
        </w:tc>
        <w:tc>
          <w:tcPr>
            <w:tcW w:w="0" w:type="auto"/>
          </w:tcPr>
          <w:p w14:paraId="03CD5070" w14:textId="05CD70BB" w:rsidR="00F54A8F" w:rsidRPr="00F54A8F" w:rsidRDefault="00F54A8F" w:rsidP="00F54A8F">
            <w:pPr>
              <w:jc w:val="right"/>
              <w:rPr>
                <w:rFonts w:ascii="Arial" w:hAnsi="Arial" w:cs="Arial"/>
                <w:sz w:val="20"/>
                <w:szCs w:val="20"/>
              </w:rPr>
            </w:pPr>
          </w:p>
        </w:tc>
        <w:tc>
          <w:tcPr>
            <w:tcW w:w="0" w:type="auto"/>
          </w:tcPr>
          <w:p w14:paraId="769396E0" w14:textId="3EEC2ED5" w:rsidR="00F54A8F" w:rsidRPr="00F54A8F" w:rsidRDefault="00F54A8F" w:rsidP="00F54A8F">
            <w:pPr>
              <w:jc w:val="right"/>
              <w:rPr>
                <w:rFonts w:ascii="Arial" w:hAnsi="Arial" w:cs="Arial"/>
                <w:sz w:val="20"/>
                <w:szCs w:val="20"/>
              </w:rPr>
            </w:pPr>
          </w:p>
        </w:tc>
      </w:tr>
      <w:tr w:rsidR="00F54A8F" w14:paraId="075A87D4" w14:textId="77777777" w:rsidTr="00FF7D13">
        <w:trPr>
          <w:jc w:val="center"/>
        </w:trPr>
        <w:tc>
          <w:tcPr>
            <w:tcW w:w="1219" w:type="dxa"/>
            <w:vMerge/>
          </w:tcPr>
          <w:p w14:paraId="01FDA4E8" w14:textId="77777777" w:rsidR="00F54A8F" w:rsidRDefault="00F54A8F" w:rsidP="00F54A8F">
            <w:pPr>
              <w:keepNext/>
              <w:keepLines/>
              <w:jc w:val="center"/>
              <w:rPr>
                <w:rFonts w:ascii="Arial" w:hAnsi="Arial" w:cs="Arial"/>
                <w:sz w:val="20"/>
                <w:szCs w:val="20"/>
              </w:rPr>
            </w:pPr>
          </w:p>
        </w:tc>
        <w:tc>
          <w:tcPr>
            <w:tcW w:w="761" w:type="dxa"/>
          </w:tcPr>
          <w:p w14:paraId="7AAC05AF" w14:textId="0D39F371" w:rsidR="00F54A8F" w:rsidRDefault="00F54A8F" w:rsidP="00F54A8F">
            <w:pPr>
              <w:keepNext/>
              <w:keepLines/>
              <w:jc w:val="center"/>
              <w:rPr>
                <w:rFonts w:ascii="Arial" w:hAnsi="Arial" w:cs="Arial"/>
                <w:sz w:val="20"/>
                <w:szCs w:val="20"/>
              </w:rPr>
            </w:pPr>
            <w:r w:rsidRPr="00B719EA">
              <w:rPr>
                <w:rFonts w:ascii="Arial" w:hAnsi="Arial" w:cs="Arial"/>
                <w:sz w:val="20"/>
                <w:szCs w:val="20"/>
              </w:rPr>
              <w:t>11</w:t>
            </w:r>
          </w:p>
        </w:tc>
        <w:tc>
          <w:tcPr>
            <w:tcW w:w="0" w:type="auto"/>
          </w:tcPr>
          <w:p w14:paraId="34630DA1" w14:textId="55DA0F0E" w:rsidR="00F54A8F" w:rsidRPr="00D71AD7" w:rsidRDefault="00F54A8F" w:rsidP="00F54A8F">
            <w:pPr>
              <w:rPr>
                <w:rFonts w:ascii="Arial" w:hAnsi="Arial" w:cs="Arial"/>
                <w:color w:val="000000"/>
                <w:sz w:val="20"/>
                <w:szCs w:val="20"/>
              </w:rPr>
            </w:pPr>
            <w:r w:rsidRPr="00B719EA">
              <w:rPr>
                <w:rFonts w:ascii="Arial" w:hAnsi="Arial" w:cs="Arial"/>
                <w:sz w:val="20"/>
                <w:szCs w:val="20"/>
              </w:rPr>
              <w:t>9/15/2014</w:t>
            </w:r>
          </w:p>
        </w:tc>
        <w:tc>
          <w:tcPr>
            <w:tcW w:w="0" w:type="auto"/>
          </w:tcPr>
          <w:p w14:paraId="570E980D" w14:textId="3EF85095" w:rsidR="00F54A8F" w:rsidRDefault="00F54A8F" w:rsidP="00F54A8F">
            <w:pPr>
              <w:keepNext/>
              <w:keepLines/>
              <w:rPr>
                <w:rFonts w:ascii="Arial" w:hAnsi="Arial" w:cs="Arial"/>
                <w:sz w:val="20"/>
                <w:szCs w:val="20"/>
              </w:rPr>
            </w:pPr>
            <w:r w:rsidRPr="00B719EA">
              <w:rPr>
                <w:rFonts w:ascii="Arial" w:hAnsi="Arial" w:cs="Arial"/>
                <w:sz w:val="20"/>
                <w:szCs w:val="20"/>
              </w:rPr>
              <w:t>Monday</w:t>
            </w:r>
          </w:p>
        </w:tc>
        <w:tc>
          <w:tcPr>
            <w:tcW w:w="0" w:type="auto"/>
          </w:tcPr>
          <w:p w14:paraId="65EC1E43" w14:textId="0F299337" w:rsidR="00F54A8F" w:rsidRPr="00F54A8F" w:rsidRDefault="00F54A8F" w:rsidP="00F54A8F">
            <w:pPr>
              <w:jc w:val="right"/>
              <w:rPr>
                <w:rFonts w:ascii="Arial" w:hAnsi="Arial" w:cs="Arial"/>
                <w:sz w:val="20"/>
                <w:szCs w:val="20"/>
              </w:rPr>
            </w:pPr>
            <w:r w:rsidRPr="00F54A8F">
              <w:rPr>
                <w:rFonts w:ascii="Arial" w:hAnsi="Arial" w:cs="Arial"/>
                <w:sz w:val="20"/>
                <w:szCs w:val="20"/>
              </w:rPr>
              <w:t>367.9</w:t>
            </w:r>
          </w:p>
        </w:tc>
        <w:tc>
          <w:tcPr>
            <w:tcW w:w="0" w:type="auto"/>
          </w:tcPr>
          <w:p w14:paraId="2E51CDA1" w14:textId="572F09B2" w:rsidR="00F54A8F" w:rsidRPr="00F54A8F" w:rsidRDefault="00F54A8F" w:rsidP="00F54A8F">
            <w:pPr>
              <w:jc w:val="right"/>
              <w:rPr>
                <w:rFonts w:ascii="Arial" w:hAnsi="Arial" w:cs="Arial"/>
                <w:sz w:val="20"/>
                <w:szCs w:val="20"/>
              </w:rPr>
            </w:pPr>
            <w:r w:rsidRPr="00F54A8F">
              <w:rPr>
                <w:rFonts w:ascii="Arial" w:hAnsi="Arial" w:cs="Arial"/>
                <w:sz w:val="20"/>
                <w:szCs w:val="20"/>
              </w:rPr>
              <w:t>367.6</w:t>
            </w:r>
          </w:p>
        </w:tc>
        <w:tc>
          <w:tcPr>
            <w:tcW w:w="0" w:type="auto"/>
          </w:tcPr>
          <w:p w14:paraId="134A5270" w14:textId="3D0C6D5A" w:rsidR="00F54A8F" w:rsidRPr="00F54A8F" w:rsidRDefault="00F54A8F" w:rsidP="00F54A8F">
            <w:pPr>
              <w:jc w:val="right"/>
              <w:rPr>
                <w:rFonts w:ascii="Arial" w:hAnsi="Arial" w:cs="Arial"/>
                <w:sz w:val="20"/>
                <w:szCs w:val="20"/>
              </w:rPr>
            </w:pPr>
            <w:r w:rsidRPr="00F54A8F">
              <w:rPr>
                <w:rFonts w:ascii="Arial" w:hAnsi="Arial" w:cs="Arial"/>
                <w:sz w:val="20"/>
                <w:szCs w:val="20"/>
              </w:rPr>
              <w:t>0.3</w:t>
            </w:r>
          </w:p>
        </w:tc>
        <w:tc>
          <w:tcPr>
            <w:tcW w:w="0" w:type="auto"/>
          </w:tcPr>
          <w:p w14:paraId="254947F7" w14:textId="4A1E9309" w:rsidR="00F54A8F" w:rsidRPr="00F54A8F" w:rsidRDefault="00F54A8F" w:rsidP="00F54A8F">
            <w:pPr>
              <w:jc w:val="right"/>
              <w:rPr>
                <w:rFonts w:ascii="Arial" w:hAnsi="Arial" w:cs="Arial"/>
                <w:sz w:val="20"/>
                <w:szCs w:val="20"/>
              </w:rPr>
            </w:pPr>
            <w:r w:rsidRPr="00F54A8F">
              <w:rPr>
                <w:rFonts w:ascii="Arial" w:hAnsi="Arial" w:cs="Arial"/>
                <w:sz w:val="20"/>
                <w:szCs w:val="20"/>
              </w:rPr>
              <w:t>0.1%</w:t>
            </w:r>
          </w:p>
        </w:tc>
      </w:tr>
      <w:tr w:rsidR="00F54A8F" w14:paraId="6012627C" w14:textId="77777777" w:rsidTr="00FF7D13">
        <w:trPr>
          <w:jc w:val="center"/>
        </w:trPr>
        <w:tc>
          <w:tcPr>
            <w:tcW w:w="1219" w:type="dxa"/>
            <w:vMerge/>
          </w:tcPr>
          <w:p w14:paraId="3719933A" w14:textId="77777777" w:rsidR="00F54A8F" w:rsidRDefault="00F54A8F" w:rsidP="00F54A8F">
            <w:pPr>
              <w:keepNext/>
              <w:keepLines/>
              <w:jc w:val="center"/>
              <w:rPr>
                <w:rFonts w:ascii="Arial" w:hAnsi="Arial" w:cs="Arial"/>
                <w:sz w:val="20"/>
                <w:szCs w:val="20"/>
              </w:rPr>
            </w:pPr>
          </w:p>
        </w:tc>
        <w:tc>
          <w:tcPr>
            <w:tcW w:w="761" w:type="dxa"/>
          </w:tcPr>
          <w:p w14:paraId="6B31EF49" w14:textId="22805259" w:rsidR="00F54A8F" w:rsidRDefault="00F54A8F" w:rsidP="00F54A8F">
            <w:pPr>
              <w:keepNext/>
              <w:keepLines/>
              <w:jc w:val="center"/>
              <w:rPr>
                <w:rFonts w:ascii="Arial" w:hAnsi="Arial" w:cs="Arial"/>
                <w:sz w:val="20"/>
                <w:szCs w:val="20"/>
              </w:rPr>
            </w:pPr>
            <w:r w:rsidRPr="00B719EA">
              <w:rPr>
                <w:rFonts w:ascii="Arial" w:hAnsi="Arial" w:cs="Arial"/>
                <w:sz w:val="20"/>
                <w:szCs w:val="20"/>
              </w:rPr>
              <w:t>12</w:t>
            </w:r>
          </w:p>
        </w:tc>
        <w:tc>
          <w:tcPr>
            <w:tcW w:w="0" w:type="auto"/>
          </w:tcPr>
          <w:p w14:paraId="75B5ADD7" w14:textId="53CB4C27" w:rsidR="00F54A8F" w:rsidRPr="00D71AD7" w:rsidRDefault="00F54A8F" w:rsidP="00F54A8F">
            <w:pPr>
              <w:rPr>
                <w:rFonts w:ascii="Arial" w:hAnsi="Arial" w:cs="Arial"/>
                <w:color w:val="000000"/>
                <w:sz w:val="20"/>
                <w:szCs w:val="20"/>
              </w:rPr>
            </w:pPr>
            <w:r w:rsidRPr="00B719EA">
              <w:rPr>
                <w:rFonts w:ascii="Arial" w:hAnsi="Arial" w:cs="Arial"/>
                <w:sz w:val="20"/>
                <w:szCs w:val="20"/>
              </w:rPr>
              <w:t>9/16/2014</w:t>
            </w:r>
          </w:p>
        </w:tc>
        <w:tc>
          <w:tcPr>
            <w:tcW w:w="0" w:type="auto"/>
          </w:tcPr>
          <w:p w14:paraId="55DB07B7" w14:textId="4E8E026C" w:rsidR="00F54A8F" w:rsidRDefault="00F54A8F" w:rsidP="00F54A8F">
            <w:pPr>
              <w:keepNext/>
              <w:keepLines/>
              <w:rPr>
                <w:rFonts w:ascii="Arial" w:hAnsi="Arial" w:cs="Arial"/>
                <w:sz w:val="20"/>
                <w:szCs w:val="20"/>
              </w:rPr>
            </w:pPr>
            <w:r w:rsidRPr="00B719EA">
              <w:rPr>
                <w:rFonts w:ascii="Arial" w:hAnsi="Arial" w:cs="Arial"/>
                <w:sz w:val="20"/>
                <w:szCs w:val="20"/>
              </w:rPr>
              <w:t>Tuesday</w:t>
            </w:r>
          </w:p>
        </w:tc>
        <w:tc>
          <w:tcPr>
            <w:tcW w:w="0" w:type="auto"/>
          </w:tcPr>
          <w:p w14:paraId="4EC3E600" w14:textId="7F02F6EE" w:rsidR="00F54A8F" w:rsidRPr="00F54A8F" w:rsidRDefault="00F54A8F" w:rsidP="00F54A8F">
            <w:pPr>
              <w:jc w:val="right"/>
              <w:rPr>
                <w:rFonts w:ascii="Arial" w:hAnsi="Arial" w:cs="Arial"/>
                <w:sz w:val="20"/>
                <w:szCs w:val="20"/>
              </w:rPr>
            </w:pPr>
            <w:r w:rsidRPr="00F54A8F">
              <w:rPr>
                <w:rFonts w:ascii="Arial" w:hAnsi="Arial" w:cs="Arial"/>
                <w:sz w:val="20"/>
                <w:szCs w:val="20"/>
              </w:rPr>
              <w:t>362.4</w:t>
            </w:r>
          </w:p>
        </w:tc>
        <w:tc>
          <w:tcPr>
            <w:tcW w:w="0" w:type="auto"/>
          </w:tcPr>
          <w:p w14:paraId="4C5B64C4" w14:textId="29CFFE9C" w:rsidR="00F54A8F" w:rsidRPr="00F54A8F" w:rsidRDefault="00F54A8F" w:rsidP="00F54A8F">
            <w:pPr>
              <w:jc w:val="right"/>
              <w:rPr>
                <w:rFonts w:ascii="Arial" w:hAnsi="Arial" w:cs="Arial"/>
                <w:sz w:val="20"/>
                <w:szCs w:val="20"/>
              </w:rPr>
            </w:pPr>
            <w:r w:rsidRPr="00F54A8F">
              <w:rPr>
                <w:rFonts w:ascii="Arial" w:hAnsi="Arial" w:cs="Arial"/>
                <w:sz w:val="20"/>
                <w:szCs w:val="20"/>
              </w:rPr>
              <w:t>362.2</w:t>
            </w:r>
          </w:p>
        </w:tc>
        <w:tc>
          <w:tcPr>
            <w:tcW w:w="0" w:type="auto"/>
          </w:tcPr>
          <w:p w14:paraId="69359A14" w14:textId="3AF6A791" w:rsidR="00F54A8F" w:rsidRPr="00F54A8F" w:rsidRDefault="00F54A8F" w:rsidP="00F54A8F">
            <w:pPr>
              <w:jc w:val="right"/>
              <w:rPr>
                <w:rFonts w:ascii="Arial" w:hAnsi="Arial" w:cs="Arial"/>
                <w:sz w:val="20"/>
                <w:szCs w:val="20"/>
              </w:rPr>
            </w:pPr>
            <w:r w:rsidRPr="00F54A8F">
              <w:rPr>
                <w:rFonts w:ascii="Arial" w:hAnsi="Arial" w:cs="Arial"/>
                <w:sz w:val="20"/>
                <w:szCs w:val="20"/>
              </w:rPr>
              <w:t>0.2</w:t>
            </w:r>
          </w:p>
        </w:tc>
        <w:tc>
          <w:tcPr>
            <w:tcW w:w="0" w:type="auto"/>
          </w:tcPr>
          <w:p w14:paraId="4864DA2A" w14:textId="15C4E654" w:rsidR="00F54A8F" w:rsidRPr="00F54A8F" w:rsidRDefault="00F54A8F" w:rsidP="00F54A8F">
            <w:pPr>
              <w:jc w:val="right"/>
              <w:rPr>
                <w:rFonts w:ascii="Arial" w:hAnsi="Arial" w:cs="Arial"/>
                <w:sz w:val="20"/>
                <w:szCs w:val="20"/>
              </w:rPr>
            </w:pPr>
            <w:r w:rsidRPr="00F54A8F">
              <w:rPr>
                <w:rFonts w:ascii="Arial" w:hAnsi="Arial" w:cs="Arial"/>
                <w:sz w:val="20"/>
                <w:szCs w:val="20"/>
              </w:rPr>
              <w:t>0.1%</w:t>
            </w:r>
          </w:p>
        </w:tc>
      </w:tr>
      <w:tr w:rsidR="00F54A8F" w14:paraId="71671FA8" w14:textId="77777777" w:rsidTr="00FF7D13">
        <w:trPr>
          <w:jc w:val="center"/>
        </w:trPr>
        <w:tc>
          <w:tcPr>
            <w:tcW w:w="1219" w:type="dxa"/>
            <w:vMerge/>
          </w:tcPr>
          <w:p w14:paraId="3C591819" w14:textId="77777777" w:rsidR="00F54A8F" w:rsidRDefault="00F54A8F" w:rsidP="00F54A8F">
            <w:pPr>
              <w:keepNext/>
              <w:keepLines/>
              <w:jc w:val="center"/>
              <w:rPr>
                <w:rFonts w:ascii="Arial" w:hAnsi="Arial" w:cs="Arial"/>
                <w:sz w:val="20"/>
                <w:szCs w:val="20"/>
              </w:rPr>
            </w:pPr>
          </w:p>
        </w:tc>
        <w:tc>
          <w:tcPr>
            <w:tcW w:w="3149" w:type="dxa"/>
            <w:gridSpan w:val="3"/>
          </w:tcPr>
          <w:p w14:paraId="40FE43E2" w14:textId="77777777" w:rsidR="00F54A8F" w:rsidRPr="0058386F" w:rsidRDefault="00F54A8F" w:rsidP="00F54A8F">
            <w:pPr>
              <w:keepNext/>
              <w:keepLines/>
              <w:jc w:val="right"/>
              <w:rPr>
                <w:rFonts w:ascii="Arial" w:hAnsi="Arial" w:cs="Arial"/>
                <w:b/>
                <w:sz w:val="20"/>
                <w:szCs w:val="20"/>
              </w:rPr>
            </w:pPr>
            <w:r w:rsidRPr="0058386F">
              <w:rPr>
                <w:rFonts w:ascii="Arial" w:hAnsi="Arial" w:cs="Arial"/>
                <w:b/>
                <w:sz w:val="20"/>
                <w:szCs w:val="20"/>
              </w:rPr>
              <w:t>Average</w:t>
            </w:r>
            <w:r>
              <w:rPr>
                <w:rFonts w:ascii="Arial" w:hAnsi="Arial" w:cs="Arial"/>
                <w:b/>
                <w:sz w:val="20"/>
                <w:szCs w:val="20"/>
              </w:rPr>
              <w:t xml:space="preserve"> when all called</w:t>
            </w:r>
          </w:p>
        </w:tc>
        <w:tc>
          <w:tcPr>
            <w:tcW w:w="0" w:type="auto"/>
          </w:tcPr>
          <w:p w14:paraId="757F15E8" w14:textId="248E771C" w:rsidR="00F54A8F" w:rsidRPr="00F466D5" w:rsidRDefault="00F54A8F" w:rsidP="00F54A8F">
            <w:pPr>
              <w:jc w:val="right"/>
              <w:rPr>
                <w:rFonts w:ascii="Arial" w:hAnsi="Arial" w:cs="Arial"/>
                <w:b/>
                <w:sz w:val="20"/>
                <w:szCs w:val="20"/>
              </w:rPr>
            </w:pPr>
            <w:r w:rsidRPr="00F466D5">
              <w:rPr>
                <w:rFonts w:ascii="Arial" w:hAnsi="Arial" w:cs="Arial"/>
                <w:b/>
                <w:sz w:val="20"/>
                <w:szCs w:val="20"/>
              </w:rPr>
              <w:t>385.4</w:t>
            </w:r>
          </w:p>
        </w:tc>
        <w:tc>
          <w:tcPr>
            <w:tcW w:w="0" w:type="auto"/>
          </w:tcPr>
          <w:p w14:paraId="27785932" w14:textId="205BAB2E" w:rsidR="00F54A8F" w:rsidRPr="00F466D5" w:rsidRDefault="00F54A8F" w:rsidP="00F54A8F">
            <w:pPr>
              <w:jc w:val="right"/>
              <w:rPr>
                <w:rFonts w:ascii="Arial" w:hAnsi="Arial" w:cs="Arial"/>
                <w:b/>
                <w:sz w:val="20"/>
                <w:szCs w:val="20"/>
              </w:rPr>
            </w:pPr>
            <w:r w:rsidRPr="00F466D5">
              <w:rPr>
                <w:rFonts w:ascii="Arial" w:hAnsi="Arial" w:cs="Arial"/>
                <w:b/>
                <w:sz w:val="20"/>
                <w:szCs w:val="20"/>
              </w:rPr>
              <w:t>384.5</w:t>
            </w:r>
          </w:p>
        </w:tc>
        <w:tc>
          <w:tcPr>
            <w:tcW w:w="0" w:type="auto"/>
          </w:tcPr>
          <w:p w14:paraId="4F02AD01" w14:textId="085B8BAD" w:rsidR="00F54A8F" w:rsidRPr="00F466D5" w:rsidRDefault="00F54A8F" w:rsidP="00F54A8F">
            <w:pPr>
              <w:jc w:val="right"/>
              <w:rPr>
                <w:rFonts w:ascii="Arial" w:hAnsi="Arial" w:cs="Arial"/>
                <w:b/>
                <w:sz w:val="20"/>
                <w:szCs w:val="20"/>
              </w:rPr>
            </w:pPr>
            <w:r w:rsidRPr="00F466D5">
              <w:rPr>
                <w:rFonts w:ascii="Arial" w:hAnsi="Arial" w:cs="Arial"/>
                <w:b/>
                <w:sz w:val="20"/>
                <w:szCs w:val="20"/>
              </w:rPr>
              <w:t>0.9</w:t>
            </w:r>
          </w:p>
        </w:tc>
        <w:tc>
          <w:tcPr>
            <w:tcW w:w="0" w:type="auto"/>
          </w:tcPr>
          <w:p w14:paraId="34B3D109" w14:textId="0EEA7E9F" w:rsidR="00F54A8F" w:rsidRPr="00F466D5" w:rsidRDefault="00F54A8F" w:rsidP="00F54A8F">
            <w:pPr>
              <w:jc w:val="right"/>
              <w:rPr>
                <w:rFonts w:ascii="Arial" w:hAnsi="Arial" w:cs="Arial"/>
                <w:b/>
                <w:sz w:val="20"/>
                <w:szCs w:val="20"/>
              </w:rPr>
            </w:pPr>
            <w:r w:rsidRPr="00F466D5">
              <w:rPr>
                <w:rFonts w:ascii="Arial" w:hAnsi="Arial" w:cs="Arial"/>
                <w:b/>
                <w:sz w:val="20"/>
                <w:szCs w:val="20"/>
              </w:rPr>
              <w:t>0.2%</w:t>
            </w:r>
          </w:p>
        </w:tc>
      </w:tr>
      <w:tr w:rsidR="00F54A8F" w14:paraId="48890692" w14:textId="77777777" w:rsidTr="00FF7D13">
        <w:trPr>
          <w:jc w:val="center"/>
        </w:trPr>
        <w:tc>
          <w:tcPr>
            <w:tcW w:w="1219" w:type="dxa"/>
            <w:vMerge/>
          </w:tcPr>
          <w:p w14:paraId="1C36649F" w14:textId="77777777" w:rsidR="007C1AC7" w:rsidRDefault="007C1AC7" w:rsidP="007C1AC7">
            <w:pPr>
              <w:keepNext/>
              <w:keepLines/>
              <w:jc w:val="center"/>
              <w:rPr>
                <w:rFonts w:ascii="Arial" w:hAnsi="Arial" w:cs="Arial"/>
                <w:sz w:val="20"/>
                <w:szCs w:val="20"/>
              </w:rPr>
            </w:pPr>
          </w:p>
        </w:tc>
        <w:tc>
          <w:tcPr>
            <w:tcW w:w="3149" w:type="dxa"/>
            <w:gridSpan w:val="3"/>
          </w:tcPr>
          <w:p w14:paraId="6DBEF383" w14:textId="5D196918" w:rsidR="007C1AC7" w:rsidRPr="0058386F" w:rsidRDefault="007C1AC7" w:rsidP="00D051DC">
            <w:pPr>
              <w:keepNext/>
              <w:keepLines/>
              <w:jc w:val="right"/>
              <w:rPr>
                <w:rFonts w:ascii="Arial" w:hAnsi="Arial" w:cs="Arial"/>
                <w:b/>
                <w:sz w:val="20"/>
                <w:szCs w:val="20"/>
              </w:rPr>
            </w:pPr>
            <w:r w:rsidRPr="0058386F">
              <w:rPr>
                <w:rFonts w:ascii="Arial" w:hAnsi="Arial" w:cs="Arial"/>
                <w:b/>
                <w:sz w:val="20"/>
                <w:szCs w:val="20"/>
              </w:rPr>
              <w:t>Std</w:t>
            </w:r>
            <w:r>
              <w:rPr>
                <w:rFonts w:ascii="Arial" w:hAnsi="Arial" w:cs="Arial"/>
                <w:b/>
                <w:sz w:val="20"/>
                <w:szCs w:val="20"/>
              </w:rPr>
              <w:t>.</w:t>
            </w:r>
            <w:r w:rsidRPr="0058386F">
              <w:rPr>
                <w:rFonts w:ascii="Arial" w:hAnsi="Arial" w:cs="Arial"/>
                <w:b/>
                <w:sz w:val="20"/>
                <w:szCs w:val="20"/>
              </w:rPr>
              <w:t xml:space="preserve"> </w:t>
            </w:r>
            <w:r>
              <w:rPr>
                <w:rFonts w:ascii="Arial" w:hAnsi="Arial" w:cs="Arial"/>
                <w:b/>
                <w:sz w:val="20"/>
                <w:szCs w:val="20"/>
              </w:rPr>
              <w:t>d</w:t>
            </w:r>
            <w:r w:rsidRPr="0058386F">
              <w:rPr>
                <w:rFonts w:ascii="Arial" w:hAnsi="Arial" w:cs="Arial"/>
                <w:b/>
                <w:sz w:val="20"/>
                <w:szCs w:val="20"/>
              </w:rPr>
              <w:t>ev</w:t>
            </w:r>
            <w:r>
              <w:rPr>
                <w:rFonts w:ascii="Arial" w:hAnsi="Arial" w:cs="Arial"/>
                <w:b/>
                <w:sz w:val="20"/>
                <w:szCs w:val="20"/>
              </w:rPr>
              <w:t xml:space="preserve">. </w:t>
            </w:r>
            <w:r w:rsidR="00D051DC">
              <w:rPr>
                <w:rFonts w:ascii="Arial" w:hAnsi="Arial" w:cs="Arial"/>
                <w:b/>
                <w:sz w:val="20"/>
                <w:szCs w:val="20"/>
              </w:rPr>
              <w:t>w</w:t>
            </w:r>
            <w:r>
              <w:rPr>
                <w:rFonts w:ascii="Arial" w:hAnsi="Arial" w:cs="Arial"/>
                <w:b/>
                <w:sz w:val="20"/>
                <w:szCs w:val="20"/>
              </w:rPr>
              <w:t>hen all called</w:t>
            </w:r>
          </w:p>
        </w:tc>
        <w:tc>
          <w:tcPr>
            <w:tcW w:w="0" w:type="auto"/>
          </w:tcPr>
          <w:p w14:paraId="5190DAEE" w14:textId="77777777" w:rsidR="007C1AC7" w:rsidRPr="0058386F" w:rsidRDefault="007C1AC7" w:rsidP="007C1AC7">
            <w:pPr>
              <w:jc w:val="right"/>
              <w:rPr>
                <w:rFonts w:ascii="Arial" w:hAnsi="Arial" w:cs="Arial"/>
                <w:b/>
                <w:sz w:val="20"/>
                <w:szCs w:val="20"/>
              </w:rPr>
            </w:pPr>
          </w:p>
        </w:tc>
        <w:tc>
          <w:tcPr>
            <w:tcW w:w="0" w:type="auto"/>
          </w:tcPr>
          <w:p w14:paraId="3D2BBD7E" w14:textId="77777777" w:rsidR="007C1AC7" w:rsidRPr="0058386F" w:rsidRDefault="007C1AC7" w:rsidP="007C1AC7">
            <w:pPr>
              <w:jc w:val="right"/>
              <w:rPr>
                <w:rFonts w:ascii="Arial" w:hAnsi="Arial" w:cs="Arial"/>
                <w:b/>
                <w:sz w:val="20"/>
                <w:szCs w:val="20"/>
              </w:rPr>
            </w:pPr>
          </w:p>
        </w:tc>
        <w:tc>
          <w:tcPr>
            <w:tcW w:w="0" w:type="auto"/>
            <w:vAlign w:val="bottom"/>
          </w:tcPr>
          <w:p w14:paraId="52116D3A" w14:textId="3990B9F4" w:rsidR="007C1AC7" w:rsidRPr="004D7354" w:rsidRDefault="007C1AC7" w:rsidP="00F54A8F">
            <w:pPr>
              <w:jc w:val="right"/>
              <w:rPr>
                <w:rFonts w:ascii="Arial" w:hAnsi="Arial" w:cs="Arial"/>
                <w:b/>
                <w:sz w:val="20"/>
                <w:szCs w:val="20"/>
              </w:rPr>
            </w:pPr>
            <w:r>
              <w:rPr>
                <w:rFonts w:ascii="Arial" w:hAnsi="Arial" w:cs="Arial"/>
                <w:b/>
                <w:sz w:val="20"/>
                <w:szCs w:val="20"/>
              </w:rPr>
              <w:t>0.</w:t>
            </w:r>
            <w:r w:rsidR="00F54A8F">
              <w:rPr>
                <w:rFonts w:ascii="Arial" w:hAnsi="Arial" w:cs="Arial"/>
                <w:b/>
                <w:sz w:val="20"/>
                <w:szCs w:val="20"/>
              </w:rPr>
              <w:t>7</w:t>
            </w:r>
          </w:p>
        </w:tc>
        <w:tc>
          <w:tcPr>
            <w:tcW w:w="0" w:type="auto"/>
            <w:vAlign w:val="bottom"/>
          </w:tcPr>
          <w:p w14:paraId="01983DD7" w14:textId="6552745A" w:rsidR="007C1AC7" w:rsidRPr="004D7354" w:rsidRDefault="007C1AC7" w:rsidP="00F54A8F">
            <w:pPr>
              <w:jc w:val="right"/>
              <w:rPr>
                <w:rFonts w:ascii="Arial" w:hAnsi="Arial" w:cs="Arial"/>
                <w:b/>
                <w:sz w:val="20"/>
                <w:szCs w:val="20"/>
              </w:rPr>
            </w:pPr>
            <w:r>
              <w:rPr>
                <w:rFonts w:ascii="Arial" w:hAnsi="Arial" w:cs="Arial"/>
                <w:b/>
                <w:sz w:val="20"/>
                <w:szCs w:val="20"/>
              </w:rPr>
              <w:t>0.</w:t>
            </w:r>
            <w:r w:rsidR="00F54A8F">
              <w:rPr>
                <w:rFonts w:ascii="Arial" w:hAnsi="Arial" w:cs="Arial"/>
                <w:b/>
                <w:sz w:val="20"/>
                <w:szCs w:val="20"/>
              </w:rPr>
              <w:t>2</w:t>
            </w:r>
            <w:r>
              <w:rPr>
                <w:rFonts w:ascii="Arial" w:hAnsi="Arial" w:cs="Arial"/>
                <w:b/>
                <w:sz w:val="20"/>
                <w:szCs w:val="20"/>
              </w:rPr>
              <w:t>%</w:t>
            </w:r>
          </w:p>
        </w:tc>
      </w:tr>
    </w:tbl>
    <w:p w14:paraId="4BCDE1FC" w14:textId="77777777" w:rsidR="00413FAA" w:rsidRDefault="00413FAA" w:rsidP="00146E50"/>
    <w:p w14:paraId="346368C6" w14:textId="32E19D41" w:rsidR="00262D55" w:rsidRPr="00CE21AB" w:rsidRDefault="007D5F7C" w:rsidP="00146E50">
      <w:r w:rsidRPr="00CE21AB">
        <w:lastRenderedPageBreak/>
        <w:t xml:space="preserve">Table 4.2 compares the bid quantities to the estimated load impacts for each event. Across </w:t>
      </w:r>
      <w:r w:rsidR="0092092B" w:rsidRPr="00CE21AB">
        <w:t xml:space="preserve">the </w:t>
      </w:r>
      <w:r w:rsidRPr="00CE21AB">
        <w:t>events</w:t>
      </w:r>
      <w:r w:rsidR="00CE21AB">
        <w:t xml:space="preserve"> during which all customers were called</w:t>
      </w:r>
      <w:r w:rsidRPr="00CE21AB">
        <w:t xml:space="preserve">, the bid amount averaged approximately </w:t>
      </w:r>
      <w:r w:rsidR="00F523AC">
        <w:t>30.5</w:t>
      </w:r>
      <w:r w:rsidRPr="00CE21AB">
        <w:t xml:space="preserve"> MW, while the estimated average hourly load impact was </w:t>
      </w:r>
      <w:r w:rsidR="00F523AC">
        <w:t>2</w:t>
      </w:r>
      <w:r w:rsidR="00261E0A">
        <w:t>5</w:t>
      </w:r>
      <w:r w:rsidRPr="00CE21AB">
        <w:t xml:space="preserve"> MW. The average bid realization rate (</w:t>
      </w:r>
      <w:r w:rsidR="00FE6FE4" w:rsidRPr="00CE21AB">
        <w:t xml:space="preserve">i.e., the </w:t>
      </w:r>
      <w:r w:rsidRPr="00CE21AB">
        <w:t xml:space="preserve">estimated load impacts as a percentage of bid amounts) across all event hours was </w:t>
      </w:r>
      <w:r w:rsidR="00CE21AB">
        <w:t>8</w:t>
      </w:r>
      <w:r w:rsidR="00261E0A">
        <w:t>2</w:t>
      </w:r>
      <w:r w:rsidRPr="00CE21AB">
        <w:t xml:space="preserve"> percent.</w:t>
      </w:r>
      <w:r w:rsidR="00D575C8" w:rsidRPr="00CE21AB">
        <w:t xml:space="preserve"> The bid realization rate was somewhat lower for customers enrolled only in </w:t>
      </w:r>
      <w:r w:rsidR="00D051DC">
        <w:t xml:space="preserve">the </w:t>
      </w:r>
      <w:r w:rsidR="00D575C8" w:rsidRPr="00CE21AB">
        <w:t xml:space="preserve">DBP, averaging </w:t>
      </w:r>
      <w:r w:rsidR="00F523AC">
        <w:t>4</w:t>
      </w:r>
      <w:r w:rsidR="00261E0A">
        <w:t>1</w:t>
      </w:r>
      <w:r w:rsidR="00D575C8" w:rsidRPr="00CE21AB">
        <w:t xml:space="preserve"> percent across the event days</w:t>
      </w:r>
      <w:r w:rsidR="00F523AC">
        <w:t xml:space="preserve"> for which all customers were called</w:t>
      </w:r>
      <w:r w:rsidR="00D575C8" w:rsidRPr="00CE21AB">
        <w:t>.</w:t>
      </w:r>
    </w:p>
    <w:p w14:paraId="64B740CE" w14:textId="77777777" w:rsidR="007D5F7C" w:rsidRDefault="007D5F7C" w:rsidP="00146E50"/>
    <w:p w14:paraId="653E069C" w14:textId="51D4BE24" w:rsidR="00EF7726" w:rsidRPr="00852320" w:rsidRDefault="00EF7726" w:rsidP="00EF7726">
      <w:pPr>
        <w:pStyle w:val="TableCaption"/>
        <w:keepNext/>
        <w:keepLines/>
      </w:pPr>
      <w:bookmarkStart w:id="101" w:name="_Toc415761875"/>
      <w:r w:rsidRPr="00852320">
        <w:t xml:space="preserve">Table </w:t>
      </w:r>
      <w:r w:rsidR="00F02657" w:rsidRPr="00852320">
        <w:t>4.2</w:t>
      </w:r>
      <w:r w:rsidRPr="00852320">
        <w:t xml:space="preserve">: Average </w:t>
      </w:r>
      <w:r w:rsidR="002B3A3B">
        <w:t>Event-</w:t>
      </w:r>
      <w:r w:rsidRPr="00852320">
        <w:t>Hour Bid Realization Rates by Event</w:t>
      </w:r>
      <w:r w:rsidRPr="00852320">
        <w:rPr>
          <w:i/>
        </w:rPr>
        <w:t>, PG&amp;E</w:t>
      </w:r>
      <w:bookmarkEnd w:id="10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761"/>
        <w:gridCol w:w="1106"/>
        <w:gridCol w:w="1298"/>
        <w:gridCol w:w="1365"/>
        <w:gridCol w:w="1511"/>
        <w:gridCol w:w="1233"/>
      </w:tblGrid>
      <w:tr w:rsidR="0058386F" w14:paraId="7E7A179E" w14:textId="77777777" w:rsidTr="0005199B">
        <w:trPr>
          <w:jc w:val="center"/>
        </w:trPr>
        <w:tc>
          <w:tcPr>
            <w:tcW w:w="0" w:type="auto"/>
            <w:shd w:val="clear" w:color="auto" w:fill="D9E2F3"/>
            <w:vAlign w:val="center"/>
          </w:tcPr>
          <w:p w14:paraId="17907E78" w14:textId="77777777" w:rsidR="0058386F" w:rsidRPr="007E0A27" w:rsidRDefault="0058386F" w:rsidP="001753F1">
            <w:pPr>
              <w:keepNext/>
              <w:keepLines/>
              <w:jc w:val="center"/>
              <w:rPr>
                <w:rFonts w:ascii="Arial" w:hAnsi="Arial" w:cs="Arial"/>
                <w:b/>
                <w:sz w:val="20"/>
                <w:szCs w:val="20"/>
              </w:rPr>
            </w:pPr>
            <w:r>
              <w:rPr>
                <w:rFonts w:ascii="Arial" w:hAnsi="Arial" w:cs="Arial"/>
                <w:b/>
                <w:sz w:val="20"/>
                <w:szCs w:val="20"/>
              </w:rPr>
              <w:t>Customer Group</w:t>
            </w:r>
          </w:p>
        </w:tc>
        <w:tc>
          <w:tcPr>
            <w:tcW w:w="0" w:type="auto"/>
            <w:shd w:val="clear" w:color="auto" w:fill="D9E2F3"/>
            <w:vAlign w:val="center"/>
          </w:tcPr>
          <w:p w14:paraId="1D50755F"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Event</w:t>
            </w:r>
          </w:p>
        </w:tc>
        <w:tc>
          <w:tcPr>
            <w:tcW w:w="0" w:type="auto"/>
            <w:shd w:val="clear" w:color="auto" w:fill="D9E2F3"/>
            <w:vAlign w:val="center"/>
          </w:tcPr>
          <w:p w14:paraId="32B384B2"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Date</w:t>
            </w:r>
          </w:p>
        </w:tc>
        <w:tc>
          <w:tcPr>
            <w:tcW w:w="0" w:type="auto"/>
            <w:shd w:val="clear" w:color="auto" w:fill="D9E2F3"/>
            <w:vAlign w:val="center"/>
          </w:tcPr>
          <w:p w14:paraId="2BF66992"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Day of Week</w:t>
            </w:r>
          </w:p>
        </w:tc>
        <w:tc>
          <w:tcPr>
            <w:tcW w:w="0" w:type="auto"/>
            <w:shd w:val="clear" w:color="auto" w:fill="D9E2F3"/>
          </w:tcPr>
          <w:p w14:paraId="273CD5C4"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Average Bid Quantity (MW)</w:t>
            </w:r>
          </w:p>
        </w:tc>
        <w:tc>
          <w:tcPr>
            <w:tcW w:w="0" w:type="auto"/>
            <w:shd w:val="clear" w:color="auto" w:fill="D9E2F3"/>
            <w:vAlign w:val="center"/>
          </w:tcPr>
          <w:p w14:paraId="63E17DDE"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5CA69A4B" w14:textId="77777777" w:rsidR="0058386F" w:rsidRPr="007E0A27" w:rsidRDefault="0058386F" w:rsidP="001753F1">
            <w:pPr>
              <w:keepNext/>
              <w:keepLines/>
              <w:jc w:val="center"/>
              <w:rPr>
                <w:rFonts w:ascii="Arial" w:hAnsi="Arial" w:cs="Arial"/>
                <w:b/>
                <w:sz w:val="20"/>
                <w:szCs w:val="20"/>
              </w:rPr>
            </w:pPr>
            <w:r w:rsidRPr="007E0A27">
              <w:rPr>
                <w:rFonts w:ascii="Arial" w:hAnsi="Arial" w:cs="Arial"/>
                <w:b/>
                <w:sz w:val="20"/>
                <w:szCs w:val="20"/>
              </w:rPr>
              <w:t>LI as % of Bid Amount</w:t>
            </w:r>
          </w:p>
        </w:tc>
      </w:tr>
      <w:tr w:rsidR="002A7556" w14:paraId="2E055E4A" w14:textId="77777777" w:rsidTr="001D2BA7">
        <w:trPr>
          <w:jc w:val="center"/>
        </w:trPr>
        <w:tc>
          <w:tcPr>
            <w:tcW w:w="0" w:type="auto"/>
            <w:vMerge w:val="restart"/>
            <w:vAlign w:val="center"/>
          </w:tcPr>
          <w:p w14:paraId="2CE90994" w14:textId="77777777" w:rsidR="002A7556" w:rsidRPr="0058386F" w:rsidRDefault="002A7556" w:rsidP="002A7556">
            <w:pPr>
              <w:keepNext/>
              <w:keepLines/>
              <w:jc w:val="center"/>
              <w:rPr>
                <w:rFonts w:ascii="Arial" w:hAnsi="Arial" w:cs="Arial"/>
                <w:b/>
                <w:sz w:val="20"/>
                <w:szCs w:val="20"/>
              </w:rPr>
            </w:pPr>
            <w:r w:rsidRPr="0058386F">
              <w:rPr>
                <w:rFonts w:ascii="Arial" w:hAnsi="Arial" w:cs="Arial"/>
                <w:b/>
                <w:sz w:val="20"/>
                <w:szCs w:val="20"/>
              </w:rPr>
              <w:t>All</w:t>
            </w:r>
          </w:p>
        </w:tc>
        <w:tc>
          <w:tcPr>
            <w:tcW w:w="0" w:type="auto"/>
          </w:tcPr>
          <w:p w14:paraId="03212BF1" w14:textId="7659CD7C" w:rsidR="002A7556" w:rsidRPr="007E0A27" w:rsidRDefault="002A7556" w:rsidP="002A7556">
            <w:pPr>
              <w:keepNext/>
              <w:keepLines/>
              <w:jc w:val="center"/>
              <w:rPr>
                <w:rFonts w:ascii="Arial" w:hAnsi="Arial" w:cs="Arial"/>
                <w:sz w:val="20"/>
                <w:szCs w:val="20"/>
              </w:rPr>
            </w:pPr>
            <w:r w:rsidRPr="00B719EA">
              <w:rPr>
                <w:rFonts w:ascii="Arial" w:hAnsi="Arial" w:cs="Arial"/>
                <w:sz w:val="20"/>
                <w:szCs w:val="20"/>
              </w:rPr>
              <w:t>1</w:t>
            </w:r>
          </w:p>
        </w:tc>
        <w:tc>
          <w:tcPr>
            <w:tcW w:w="0" w:type="auto"/>
          </w:tcPr>
          <w:p w14:paraId="2A9F605E" w14:textId="4E9760E1" w:rsidR="002A7556" w:rsidRPr="00D71AD7" w:rsidRDefault="002A7556" w:rsidP="002A7556">
            <w:pPr>
              <w:rPr>
                <w:rFonts w:ascii="Arial" w:hAnsi="Arial" w:cs="Arial"/>
                <w:color w:val="000000"/>
                <w:sz w:val="20"/>
                <w:szCs w:val="20"/>
              </w:rPr>
            </w:pPr>
            <w:r w:rsidRPr="00B719EA">
              <w:rPr>
                <w:rFonts w:ascii="Arial" w:hAnsi="Arial" w:cs="Arial"/>
                <w:sz w:val="20"/>
                <w:szCs w:val="20"/>
              </w:rPr>
              <w:t>5/14/2014</w:t>
            </w:r>
          </w:p>
        </w:tc>
        <w:tc>
          <w:tcPr>
            <w:tcW w:w="0" w:type="auto"/>
          </w:tcPr>
          <w:p w14:paraId="3F40C93F" w14:textId="7D1FB77C" w:rsidR="002A7556" w:rsidRPr="007E0A27" w:rsidRDefault="002A7556" w:rsidP="002A7556">
            <w:pPr>
              <w:keepNext/>
              <w:keepLines/>
              <w:rPr>
                <w:rFonts w:ascii="Arial" w:hAnsi="Arial" w:cs="Arial"/>
                <w:sz w:val="20"/>
                <w:szCs w:val="20"/>
              </w:rPr>
            </w:pPr>
            <w:r w:rsidRPr="00B719EA">
              <w:rPr>
                <w:rFonts w:ascii="Arial" w:hAnsi="Arial" w:cs="Arial"/>
                <w:sz w:val="20"/>
                <w:szCs w:val="20"/>
              </w:rPr>
              <w:t>Wednesday</w:t>
            </w:r>
          </w:p>
        </w:tc>
        <w:tc>
          <w:tcPr>
            <w:tcW w:w="0" w:type="auto"/>
          </w:tcPr>
          <w:p w14:paraId="3375513A" w14:textId="400049D0" w:rsidR="002A7556" w:rsidRPr="002A7556" w:rsidRDefault="002A7556" w:rsidP="002A7556">
            <w:pPr>
              <w:jc w:val="center"/>
              <w:rPr>
                <w:rFonts w:ascii="Arial" w:hAnsi="Arial" w:cs="Arial"/>
                <w:sz w:val="20"/>
                <w:szCs w:val="20"/>
              </w:rPr>
            </w:pPr>
            <w:r w:rsidRPr="002A7556">
              <w:rPr>
                <w:rFonts w:ascii="Arial" w:hAnsi="Arial" w:cs="Arial"/>
                <w:sz w:val="20"/>
                <w:szCs w:val="20"/>
              </w:rPr>
              <w:t>5.0</w:t>
            </w:r>
          </w:p>
        </w:tc>
        <w:tc>
          <w:tcPr>
            <w:tcW w:w="0" w:type="auto"/>
          </w:tcPr>
          <w:p w14:paraId="36B9E1A8" w14:textId="5EB18FA1" w:rsidR="002A7556" w:rsidRPr="002A7556" w:rsidRDefault="002A7556" w:rsidP="002A7556">
            <w:pPr>
              <w:jc w:val="center"/>
              <w:rPr>
                <w:rFonts w:ascii="Arial" w:hAnsi="Arial" w:cs="Arial"/>
                <w:sz w:val="20"/>
                <w:szCs w:val="20"/>
              </w:rPr>
            </w:pPr>
            <w:r w:rsidRPr="002A7556">
              <w:rPr>
                <w:rFonts w:ascii="Arial" w:hAnsi="Arial" w:cs="Arial"/>
                <w:sz w:val="20"/>
                <w:szCs w:val="20"/>
              </w:rPr>
              <w:t>5.3</w:t>
            </w:r>
          </w:p>
        </w:tc>
        <w:tc>
          <w:tcPr>
            <w:tcW w:w="0" w:type="auto"/>
          </w:tcPr>
          <w:p w14:paraId="1412BDBB" w14:textId="57DFF22C" w:rsidR="002A7556" w:rsidRPr="002A7556" w:rsidRDefault="002A7556" w:rsidP="00261E0A">
            <w:pPr>
              <w:jc w:val="center"/>
              <w:rPr>
                <w:rFonts w:ascii="Arial" w:hAnsi="Arial" w:cs="Arial"/>
                <w:sz w:val="20"/>
                <w:szCs w:val="20"/>
              </w:rPr>
            </w:pPr>
            <w:r w:rsidRPr="002A7556">
              <w:rPr>
                <w:rFonts w:ascii="Arial" w:hAnsi="Arial" w:cs="Arial"/>
                <w:sz w:val="20"/>
                <w:szCs w:val="20"/>
              </w:rPr>
              <w:t>10</w:t>
            </w:r>
            <w:r w:rsidR="00261E0A">
              <w:rPr>
                <w:rFonts w:ascii="Arial" w:hAnsi="Arial" w:cs="Arial"/>
                <w:sz w:val="20"/>
                <w:szCs w:val="20"/>
              </w:rPr>
              <w:t>6</w:t>
            </w:r>
            <w:r w:rsidRPr="002A7556">
              <w:rPr>
                <w:rFonts w:ascii="Arial" w:hAnsi="Arial" w:cs="Arial"/>
                <w:sz w:val="20"/>
                <w:szCs w:val="20"/>
              </w:rPr>
              <w:t>%</w:t>
            </w:r>
          </w:p>
        </w:tc>
      </w:tr>
      <w:tr w:rsidR="002A7556" w14:paraId="1C07A153" w14:textId="77777777" w:rsidTr="001D2BA7">
        <w:trPr>
          <w:jc w:val="center"/>
        </w:trPr>
        <w:tc>
          <w:tcPr>
            <w:tcW w:w="0" w:type="auto"/>
            <w:vMerge/>
            <w:vAlign w:val="center"/>
          </w:tcPr>
          <w:p w14:paraId="1EFF0EEE" w14:textId="77777777" w:rsidR="002A7556" w:rsidRDefault="002A7556" w:rsidP="002A7556">
            <w:pPr>
              <w:keepNext/>
              <w:keepLines/>
              <w:jc w:val="center"/>
              <w:rPr>
                <w:rFonts w:ascii="Arial" w:hAnsi="Arial" w:cs="Arial"/>
                <w:sz w:val="20"/>
                <w:szCs w:val="20"/>
              </w:rPr>
            </w:pPr>
          </w:p>
        </w:tc>
        <w:tc>
          <w:tcPr>
            <w:tcW w:w="0" w:type="auto"/>
          </w:tcPr>
          <w:p w14:paraId="39EC9654" w14:textId="544DD46A" w:rsidR="002A7556" w:rsidRPr="007E0A27" w:rsidRDefault="002A7556" w:rsidP="002A7556">
            <w:pPr>
              <w:keepNext/>
              <w:keepLines/>
              <w:jc w:val="center"/>
              <w:rPr>
                <w:rFonts w:ascii="Arial" w:hAnsi="Arial" w:cs="Arial"/>
                <w:sz w:val="20"/>
                <w:szCs w:val="20"/>
              </w:rPr>
            </w:pPr>
            <w:r w:rsidRPr="00B719EA">
              <w:rPr>
                <w:rFonts w:ascii="Arial" w:hAnsi="Arial" w:cs="Arial"/>
                <w:sz w:val="20"/>
                <w:szCs w:val="20"/>
              </w:rPr>
              <w:t>2</w:t>
            </w:r>
          </w:p>
        </w:tc>
        <w:tc>
          <w:tcPr>
            <w:tcW w:w="0" w:type="auto"/>
          </w:tcPr>
          <w:p w14:paraId="444FF480" w14:textId="0ABE8BC2" w:rsidR="002A7556" w:rsidRPr="00D71AD7" w:rsidRDefault="002A7556" w:rsidP="002A7556">
            <w:pPr>
              <w:rPr>
                <w:rFonts w:ascii="Arial" w:hAnsi="Arial" w:cs="Arial"/>
                <w:color w:val="000000"/>
                <w:sz w:val="20"/>
                <w:szCs w:val="20"/>
              </w:rPr>
            </w:pPr>
            <w:r w:rsidRPr="00B719EA">
              <w:rPr>
                <w:rFonts w:ascii="Arial" w:hAnsi="Arial" w:cs="Arial"/>
                <w:sz w:val="20"/>
                <w:szCs w:val="20"/>
              </w:rPr>
              <w:t>6/30/2014</w:t>
            </w:r>
          </w:p>
        </w:tc>
        <w:tc>
          <w:tcPr>
            <w:tcW w:w="0" w:type="auto"/>
          </w:tcPr>
          <w:p w14:paraId="4A63A020" w14:textId="7E6E6F74" w:rsidR="002A7556" w:rsidRPr="007E0A27" w:rsidRDefault="002A7556" w:rsidP="002A7556">
            <w:pPr>
              <w:keepNext/>
              <w:keepLines/>
              <w:rPr>
                <w:rFonts w:ascii="Arial" w:hAnsi="Arial" w:cs="Arial"/>
                <w:sz w:val="20"/>
                <w:szCs w:val="20"/>
              </w:rPr>
            </w:pPr>
            <w:r w:rsidRPr="00B719EA">
              <w:rPr>
                <w:rFonts w:ascii="Arial" w:hAnsi="Arial" w:cs="Arial"/>
                <w:sz w:val="20"/>
                <w:szCs w:val="20"/>
              </w:rPr>
              <w:t>Monday</w:t>
            </w:r>
          </w:p>
        </w:tc>
        <w:tc>
          <w:tcPr>
            <w:tcW w:w="0" w:type="auto"/>
          </w:tcPr>
          <w:p w14:paraId="6B02CC5B" w14:textId="661C8D8C" w:rsidR="002A7556" w:rsidRPr="002A7556" w:rsidRDefault="002A7556" w:rsidP="002A7556">
            <w:pPr>
              <w:jc w:val="center"/>
              <w:rPr>
                <w:rFonts w:ascii="Arial" w:hAnsi="Arial" w:cs="Arial"/>
                <w:sz w:val="20"/>
                <w:szCs w:val="20"/>
              </w:rPr>
            </w:pPr>
            <w:r w:rsidRPr="002A7556">
              <w:rPr>
                <w:rFonts w:ascii="Arial" w:hAnsi="Arial" w:cs="Arial"/>
                <w:sz w:val="20"/>
                <w:szCs w:val="20"/>
              </w:rPr>
              <w:t>38.0</w:t>
            </w:r>
          </w:p>
        </w:tc>
        <w:tc>
          <w:tcPr>
            <w:tcW w:w="0" w:type="auto"/>
          </w:tcPr>
          <w:p w14:paraId="6566AC01" w14:textId="5CE0059A" w:rsidR="002A7556" w:rsidRPr="002A7556" w:rsidRDefault="002A7556" w:rsidP="002A7556">
            <w:pPr>
              <w:jc w:val="center"/>
              <w:rPr>
                <w:rFonts w:ascii="Arial" w:hAnsi="Arial" w:cs="Arial"/>
                <w:sz w:val="20"/>
                <w:szCs w:val="20"/>
              </w:rPr>
            </w:pPr>
            <w:r w:rsidRPr="002A7556">
              <w:rPr>
                <w:rFonts w:ascii="Arial" w:hAnsi="Arial" w:cs="Arial"/>
                <w:sz w:val="20"/>
                <w:szCs w:val="20"/>
              </w:rPr>
              <w:t>39.6</w:t>
            </w:r>
          </w:p>
        </w:tc>
        <w:tc>
          <w:tcPr>
            <w:tcW w:w="0" w:type="auto"/>
          </w:tcPr>
          <w:p w14:paraId="2EE18066" w14:textId="6FE5E252" w:rsidR="002A7556" w:rsidRPr="002A7556" w:rsidRDefault="002A7556" w:rsidP="002A7556">
            <w:pPr>
              <w:jc w:val="center"/>
              <w:rPr>
                <w:rFonts w:ascii="Arial" w:hAnsi="Arial" w:cs="Arial"/>
                <w:sz w:val="20"/>
                <w:szCs w:val="20"/>
              </w:rPr>
            </w:pPr>
            <w:r w:rsidRPr="002A7556">
              <w:rPr>
                <w:rFonts w:ascii="Arial" w:hAnsi="Arial" w:cs="Arial"/>
                <w:sz w:val="20"/>
                <w:szCs w:val="20"/>
              </w:rPr>
              <w:t>104%</w:t>
            </w:r>
          </w:p>
        </w:tc>
      </w:tr>
      <w:tr w:rsidR="002A7556" w14:paraId="63E86C0E" w14:textId="77777777" w:rsidTr="001D2BA7">
        <w:trPr>
          <w:jc w:val="center"/>
        </w:trPr>
        <w:tc>
          <w:tcPr>
            <w:tcW w:w="0" w:type="auto"/>
            <w:vMerge/>
            <w:vAlign w:val="center"/>
          </w:tcPr>
          <w:p w14:paraId="6BC49F94" w14:textId="77777777" w:rsidR="002A7556" w:rsidRDefault="002A7556" w:rsidP="002A7556">
            <w:pPr>
              <w:keepNext/>
              <w:keepLines/>
              <w:jc w:val="center"/>
              <w:rPr>
                <w:rFonts w:ascii="Arial" w:hAnsi="Arial" w:cs="Arial"/>
                <w:sz w:val="20"/>
                <w:szCs w:val="20"/>
              </w:rPr>
            </w:pPr>
          </w:p>
        </w:tc>
        <w:tc>
          <w:tcPr>
            <w:tcW w:w="0" w:type="auto"/>
          </w:tcPr>
          <w:p w14:paraId="712AD3F8" w14:textId="1709CF44" w:rsidR="002A7556" w:rsidRPr="007E0A27" w:rsidRDefault="002A7556" w:rsidP="002A7556">
            <w:pPr>
              <w:keepNext/>
              <w:keepLines/>
              <w:jc w:val="center"/>
              <w:rPr>
                <w:rFonts w:ascii="Arial" w:hAnsi="Arial" w:cs="Arial"/>
                <w:sz w:val="20"/>
                <w:szCs w:val="20"/>
              </w:rPr>
            </w:pPr>
            <w:r w:rsidRPr="00B719EA">
              <w:rPr>
                <w:rFonts w:ascii="Arial" w:hAnsi="Arial" w:cs="Arial"/>
                <w:sz w:val="20"/>
                <w:szCs w:val="20"/>
              </w:rPr>
              <w:t>3</w:t>
            </w:r>
          </w:p>
        </w:tc>
        <w:tc>
          <w:tcPr>
            <w:tcW w:w="0" w:type="auto"/>
          </w:tcPr>
          <w:p w14:paraId="1312BDD1" w14:textId="1E868897" w:rsidR="002A7556" w:rsidRPr="00D71AD7" w:rsidRDefault="002A7556" w:rsidP="002A7556">
            <w:pPr>
              <w:rPr>
                <w:rFonts w:ascii="Arial" w:hAnsi="Arial" w:cs="Arial"/>
                <w:color w:val="000000"/>
                <w:sz w:val="20"/>
                <w:szCs w:val="20"/>
              </w:rPr>
            </w:pPr>
            <w:r w:rsidRPr="00B719EA">
              <w:rPr>
                <w:rFonts w:ascii="Arial" w:hAnsi="Arial" w:cs="Arial"/>
                <w:sz w:val="20"/>
                <w:szCs w:val="20"/>
              </w:rPr>
              <w:t>7/7/2014</w:t>
            </w:r>
          </w:p>
        </w:tc>
        <w:tc>
          <w:tcPr>
            <w:tcW w:w="0" w:type="auto"/>
          </w:tcPr>
          <w:p w14:paraId="5108C3FB" w14:textId="7B63AD06" w:rsidR="002A7556" w:rsidRPr="007E0A27" w:rsidRDefault="002A7556" w:rsidP="002A7556">
            <w:pPr>
              <w:keepNext/>
              <w:keepLines/>
              <w:rPr>
                <w:rFonts w:ascii="Arial" w:hAnsi="Arial" w:cs="Arial"/>
                <w:sz w:val="20"/>
                <w:szCs w:val="20"/>
              </w:rPr>
            </w:pPr>
            <w:r w:rsidRPr="00B719EA">
              <w:rPr>
                <w:rFonts w:ascii="Arial" w:hAnsi="Arial" w:cs="Arial"/>
                <w:sz w:val="20"/>
                <w:szCs w:val="20"/>
              </w:rPr>
              <w:t>Monday</w:t>
            </w:r>
          </w:p>
        </w:tc>
        <w:tc>
          <w:tcPr>
            <w:tcW w:w="0" w:type="auto"/>
          </w:tcPr>
          <w:p w14:paraId="585351D8" w14:textId="706F1DA8" w:rsidR="002A7556" w:rsidRPr="002A7556" w:rsidRDefault="002A7556" w:rsidP="002A7556">
            <w:pPr>
              <w:jc w:val="center"/>
              <w:rPr>
                <w:rFonts w:ascii="Arial" w:hAnsi="Arial" w:cs="Arial"/>
                <w:sz w:val="20"/>
                <w:szCs w:val="20"/>
              </w:rPr>
            </w:pPr>
            <w:r w:rsidRPr="002A7556">
              <w:rPr>
                <w:rFonts w:ascii="Arial" w:hAnsi="Arial" w:cs="Arial"/>
                <w:sz w:val="20"/>
                <w:szCs w:val="20"/>
              </w:rPr>
              <w:t>25.9</w:t>
            </w:r>
          </w:p>
        </w:tc>
        <w:tc>
          <w:tcPr>
            <w:tcW w:w="0" w:type="auto"/>
          </w:tcPr>
          <w:p w14:paraId="0F77A742" w14:textId="1943D74A" w:rsidR="002A7556" w:rsidRPr="002A7556" w:rsidRDefault="002A7556" w:rsidP="002A7556">
            <w:pPr>
              <w:jc w:val="center"/>
              <w:rPr>
                <w:rFonts w:ascii="Arial" w:hAnsi="Arial" w:cs="Arial"/>
                <w:sz w:val="20"/>
                <w:szCs w:val="20"/>
              </w:rPr>
            </w:pPr>
            <w:r w:rsidRPr="002A7556">
              <w:rPr>
                <w:rFonts w:ascii="Arial" w:hAnsi="Arial" w:cs="Arial"/>
                <w:sz w:val="20"/>
                <w:szCs w:val="20"/>
              </w:rPr>
              <w:t>15.7</w:t>
            </w:r>
          </w:p>
        </w:tc>
        <w:tc>
          <w:tcPr>
            <w:tcW w:w="0" w:type="auto"/>
          </w:tcPr>
          <w:p w14:paraId="7C585601" w14:textId="61285C46" w:rsidR="002A7556" w:rsidRPr="002A7556" w:rsidRDefault="002A7556" w:rsidP="002A7556">
            <w:pPr>
              <w:jc w:val="center"/>
              <w:rPr>
                <w:rFonts w:ascii="Arial" w:hAnsi="Arial" w:cs="Arial"/>
                <w:sz w:val="20"/>
                <w:szCs w:val="20"/>
              </w:rPr>
            </w:pPr>
            <w:r w:rsidRPr="002A7556">
              <w:rPr>
                <w:rFonts w:ascii="Arial" w:hAnsi="Arial" w:cs="Arial"/>
                <w:sz w:val="20"/>
                <w:szCs w:val="20"/>
              </w:rPr>
              <w:t>61%</w:t>
            </w:r>
          </w:p>
        </w:tc>
      </w:tr>
      <w:tr w:rsidR="002A7556" w14:paraId="2CD48C11" w14:textId="77777777" w:rsidTr="001D2BA7">
        <w:trPr>
          <w:jc w:val="center"/>
        </w:trPr>
        <w:tc>
          <w:tcPr>
            <w:tcW w:w="0" w:type="auto"/>
            <w:vMerge/>
            <w:vAlign w:val="center"/>
          </w:tcPr>
          <w:p w14:paraId="6686537D" w14:textId="77777777" w:rsidR="002A7556" w:rsidRDefault="002A7556" w:rsidP="002A7556">
            <w:pPr>
              <w:keepNext/>
              <w:keepLines/>
              <w:jc w:val="center"/>
              <w:rPr>
                <w:rFonts w:ascii="Arial" w:hAnsi="Arial" w:cs="Arial"/>
                <w:sz w:val="20"/>
                <w:szCs w:val="20"/>
              </w:rPr>
            </w:pPr>
          </w:p>
        </w:tc>
        <w:tc>
          <w:tcPr>
            <w:tcW w:w="0" w:type="auto"/>
          </w:tcPr>
          <w:p w14:paraId="4A3DCCA8" w14:textId="0B4A98B6" w:rsidR="002A7556" w:rsidRDefault="002A7556" w:rsidP="002A7556">
            <w:pPr>
              <w:keepNext/>
              <w:keepLines/>
              <w:jc w:val="center"/>
              <w:rPr>
                <w:rFonts w:ascii="Arial" w:hAnsi="Arial" w:cs="Arial"/>
                <w:sz w:val="20"/>
                <w:szCs w:val="20"/>
              </w:rPr>
            </w:pPr>
            <w:r w:rsidRPr="00B719EA">
              <w:rPr>
                <w:rFonts w:ascii="Arial" w:hAnsi="Arial" w:cs="Arial"/>
                <w:sz w:val="20"/>
                <w:szCs w:val="20"/>
              </w:rPr>
              <w:t>4</w:t>
            </w:r>
          </w:p>
        </w:tc>
        <w:tc>
          <w:tcPr>
            <w:tcW w:w="0" w:type="auto"/>
          </w:tcPr>
          <w:p w14:paraId="3FE1389A" w14:textId="424B24A7" w:rsidR="002A7556" w:rsidRPr="00D71AD7" w:rsidRDefault="002A7556" w:rsidP="002A7556">
            <w:pPr>
              <w:rPr>
                <w:rFonts w:ascii="Arial" w:hAnsi="Arial" w:cs="Arial"/>
                <w:color w:val="000000"/>
                <w:sz w:val="20"/>
                <w:szCs w:val="20"/>
              </w:rPr>
            </w:pPr>
            <w:r w:rsidRPr="00B719EA">
              <w:rPr>
                <w:rFonts w:ascii="Arial" w:hAnsi="Arial" w:cs="Arial"/>
                <w:sz w:val="20"/>
                <w:szCs w:val="20"/>
              </w:rPr>
              <w:t>7/14/2014</w:t>
            </w:r>
          </w:p>
        </w:tc>
        <w:tc>
          <w:tcPr>
            <w:tcW w:w="0" w:type="auto"/>
          </w:tcPr>
          <w:p w14:paraId="3E45312E" w14:textId="7BE677AD" w:rsidR="002A7556" w:rsidRDefault="002A7556" w:rsidP="002A7556">
            <w:pPr>
              <w:keepNext/>
              <w:keepLines/>
              <w:rPr>
                <w:rFonts w:ascii="Arial" w:hAnsi="Arial" w:cs="Arial"/>
                <w:sz w:val="20"/>
                <w:szCs w:val="20"/>
              </w:rPr>
            </w:pPr>
            <w:r w:rsidRPr="00B719EA">
              <w:rPr>
                <w:rFonts w:ascii="Arial" w:hAnsi="Arial" w:cs="Arial"/>
                <w:sz w:val="20"/>
                <w:szCs w:val="20"/>
              </w:rPr>
              <w:t>Monday</w:t>
            </w:r>
          </w:p>
        </w:tc>
        <w:tc>
          <w:tcPr>
            <w:tcW w:w="0" w:type="auto"/>
          </w:tcPr>
          <w:p w14:paraId="7F7C8541" w14:textId="26ED260A" w:rsidR="002A7556" w:rsidRPr="002A7556" w:rsidRDefault="002A7556" w:rsidP="002A7556">
            <w:pPr>
              <w:jc w:val="center"/>
              <w:rPr>
                <w:rFonts w:ascii="Arial" w:hAnsi="Arial" w:cs="Arial"/>
                <w:sz w:val="20"/>
                <w:szCs w:val="20"/>
              </w:rPr>
            </w:pPr>
          </w:p>
        </w:tc>
        <w:tc>
          <w:tcPr>
            <w:tcW w:w="0" w:type="auto"/>
          </w:tcPr>
          <w:p w14:paraId="6710FCC1" w14:textId="2FBAA8DE" w:rsidR="002A7556" w:rsidRPr="002A7556" w:rsidRDefault="002A7556" w:rsidP="002A7556">
            <w:pPr>
              <w:jc w:val="center"/>
              <w:rPr>
                <w:rFonts w:ascii="Arial" w:hAnsi="Arial" w:cs="Arial"/>
                <w:sz w:val="20"/>
                <w:szCs w:val="20"/>
              </w:rPr>
            </w:pPr>
          </w:p>
        </w:tc>
        <w:tc>
          <w:tcPr>
            <w:tcW w:w="0" w:type="auto"/>
          </w:tcPr>
          <w:p w14:paraId="11BD78EB" w14:textId="36171CDA" w:rsidR="002A7556" w:rsidRPr="002A7556" w:rsidRDefault="002A7556" w:rsidP="002A7556">
            <w:pPr>
              <w:jc w:val="center"/>
              <w:rPr>
                <w:rFonts w:ascii="Arial" w:hAnsi="Arial" w:cs="Arial"/>
                <w:sz w:val="20"/>
                <w:szCs w:val="20"/>
              </w:rPr>
            </w:pPr>
          </w:p>
        </w:tc>
      </w:tr>
      <w:tr w:rsidR="002A7556" w14:paraId="672B9007" w14:textId="77777777" w:rsidTr="001D2BA7">
        <w:trPr>
          <w:jc w:val="center"/>
        </w:trPr>
        <w:tc>
          <w:tcPr>
            <w:tcW w:w="0" w:type="auto"/>
            <w:vMerge/>
            <w:vAlign w:val="center"/>
          </w:tcPr>
          <w:p w14:paraId="710E2098" w14:textId="77777777" w:rsidR="002A7556" w:rsidRDefault="002A7556" w:rsidP="002A7556">
            <w:pPr>
              <w:keepNext/>
              <w:keepLines/>
              <w:jc w:val="center"/>
              <w:rPr>
                <w:rFonts w:ascii="Arial" w:hAnsi="Arial" w:cs="Arial"/>
                <w:sz w:val="20"/>
                <w:szCs w:val="20"/>
              </w:rPr>
            </w:pPr>
          </w:p>
        </w:tc>
        <w:tc>
          <w:tcPr>
            <w:tcW w:w="0" w:type="auto"/>
          </w:tcPr>
          <w:p w14:paraId="46055ECE" w14:textId="766BA9AD" w:rsidR="002A7556" w:rsidRDefault="002A7556" w:rsidP="002A7556">
            <w:pPr>
              <w:keepNext/>
              <w:keepLines/>
              <w:jc w:val="center"/>
              <w:rPr>
                <w:rFonts w:ascii="Arial" w:hAnsi="Arial" w:cs="Arial"/>
                <w:sz w:val="20"/>
                <w:szCs w:val="20"/>
              </w:rPr>
            </w:pPr>
            <w:r w:rsidRPr="00B719EA">
              <w:rPr>
                <w:rFonts w:ascii="Arial" w:hAnsi="Arial" w:cs="Arial"/>
                <w:sz w:val="20"/>
                <w:szCs w:val="20"/>
              </w:rPr>
              <w:t>5</w:t>
            </w:r>
          </w:p>
        </w:tc>
        <w:tc>
          <w:tcPr>
            <w:tcW w:w="0" w:type="auto"/>
          </w:tcPr>
          <w:p w14:paraId="5712DAC7" w14:textId="4B23C043" w:rsidR="002A7556" w:rsidRPr="00D71AD7" w:rsidRDefault="002A7556" w:rsidP="002A7556">
            <w:pPr>
              <w:rPr>
                <w:rFonts w:ascii="Arial" w:hAnsi="Arial" w:cs="Arial"/>
                <w:color w:val="000000"/>
                <w:sz w:val="20"/>
                <w:szCs w:val="20"/>
              </w:rPr>
            </w:pPr>
            <w:r w:rsidRPr="00B719EA">
              <w:rPr>
                <w:rFonts w:ascii="Arial" w:hAnsi="Arial" w:cs="Arial"/>
                <w:sz w:val="20"/>
                <w:szCs w:val="20"/>
              </w:rPr>
              <w:t>7/28/2014</w:t>
            </w:r>
          </w:p>
        </w:tc>
        <w:tc>
          <w:tcPr>
            <w:tcW w:w="0" w:type="auto"/>
          </w:tcPr>
          <w:p w14:paraId="095FEB40" w14:textId="7C72E5DA" w:rsidR="002A7556" w:rsidRDefault="002A7556" w:rsidP="002A7556">
            <w:pPr>
              <w:keepNext/>
              <w:keepLines/>
              <w:rPr>
                <w:rFonts w:ascii="Arial" w:hAnsi="Arial" w:cs="Arial"/>
                <w:sz w:val="20"/>
                <w:szCs w:val="20"/>
              </w:rPr>
            </w:pPr>
            <w:r w:rsidRPr="00B719EA">
              <w:rPr>
                <w:rFonts w:ascii="Arial" w:hAnsi="Arial" w:cs="Arial"/>
                <w:sz w:val="20"/>
                <w:szCs w:val="20"/>
              </w:rPr>
              <w:t>Monday</w:t>
            </w:r>
          </w:p>
        </w:tc>
        <w:tc>
          <w:tcPr>
            <w:tcW w:w="0" w:type="auto"/>
          </w:tcPr>
          <w:p w14:paraId="3FD09964" w14:textId="12469035" w:rsidR="002A7556" w:rsidRPr="002A7556" w:rsidRDefault="002A7556" w:rsidP="002A7556">
            <w:pPr>
              <w:jc w:val="center"/>
              <w:rPr>
                <w:rFonts w:ascii="Arial" w:hAnsi="Arial" w:cs="Arial"/>
                <w:sz w:val="20"/>
                <w:szCs w:val="20"/>
              </w:rPr>
            </w:pPr>
            <w:r w:rsidRPr="002A7556">
              <w:rPr>
                <w:rFonts w:ascii="Arial" w:hAnsi="Arial" w:cs="Arial"/>
                <w:sz w:val="20"/>
                <w:szCs w:val="20"/>
              </w:rPr>
              <w:t>46.2</w:t>
            </w:r>
          </w:p>
        </w:tc>
        <w:tc>
          <w:tcPr>
            <w:tcW w:w="0" w:type="auto"/>
          </w:tcPr>
          <w:p w14:paraId="4099726F" w14:textId="50C7FFF0" w:rsidR="002A7556" w:rsidRPr="002A7556" w:rsidRDefault="002A7556" w:rsidP="002A7556">
            <w:pPr>
              <w:jc w:val="center"/>
              <w:rPr>
                <w:rFonts w:ascii="Arial" w:hAnsi="Arial" w:cs="Arial"/>
                <w:sz w:val="20"/>
                <w:szCs w:val="20"/>
              </w:rPr>
            </w:pPr>
            <w:r w:rsidRPr="002A7556">
              <w:rPr>
                <w:rFonts w:ascii="Arial" w:hAnsi="Arial" w:cs="Arial"/>
                <w:sz w:val="20"/>
                <w:szCs w:val="20"/>
              </w:rPr>
              <w:t>29.7</w:t>
            </w:r>
          </w:p>
        </w:tc>
        <w:tc>
          <w:tcPr>
            <w:tcW w:w="0" w:type="auto"/>
          </w:tcPr>
          <w:p w14:paraId="59C7F5BF" w14:textId="228AFA91" w:rsidR="002A7556" w:rsidRPr="002A7556" w:rsidRDefault="002A7556" w:rsidP="002A7556">
            <w:pPr>
              <w:jc w:val="center"/>
              <w:rPr>
                <w:rFonts w:ascii="Arial" w:hAnsi="Arial" w:cs="Arial"/>
                <w:sz w:val="20"/>
                <w:szCs w:val="20"/>
              </w:rPr>
            </w:pPr>
            <w:r w:rsidRPr="002A7556">
              <w:rPr>
                <w:rFonts w:ascii="Arial" w:hAnsi="Arial" w:cs="Arial"/>
                <w:sz w:val="20"/>
                <w:szCs w:val="20"/>
              </w:rPr>
              <w:t>64%</w:t>
            </w:r>
          </w:p>
        </w:tc>
      </w:tr>
      <w:tr w:rsidR="002A7556" w14:paraId="3A615EE3" w14:textId="77777777" w:rsidTr="001D2BA7">
        <w:trPr>
          <w:jc w:val="center"/>
        </w:trPr>
        <w:tc>
          <w:tcPr>
            <w:tcW w:w="0" w:type="auto"/>
            <w:vMerge/>
            <w:vAlign w:val="center"/>
          </w:tcPr>
          <w:p w14:paraId="2E75A2E4" w14:textId="77777777" w:rsidR="002A7556" w:rsidRDefault="002A7556" w:rsidP="002A7556">
            <w:pPr>
              <w:keepNext/>
              <w:keepLines/>
              <w:jc w:val="center"/>
              <w:rPr>
                <w:rFonts w:ascii="Arial" w:hAnsi="Arial" w:cs="Arial"/>
                <w:sz w:val="20"/>
                <w:szCs w:val="20"/>
              </w:rPr>
            </w:pPr>
          </w:p>
        </w:tc>
        <w:tc>
          <w:tcPr>
            <w:tcW w:w="0" w:type="auto"/>
          </w:tcPr>
          <w:p w14:paraId="71F6DB5E" w14:textId="5EE8E52A" w:rsidR="002A7556" w:rsidRDefault="002A7556" w:rsidP="002A7556">
            <w:pPr>
              <w:keepNext/>
              <w:keepLines/>
              <w:jc w:val="center"/>
              <w:rPr>
                <w:rFonts w:ascii="Arial" w:hAnsi="Arial" w:cs="Arial"/>
                <w:sz w:val="20"/>
                <w:szCs w:val="20"/>
              </w:rPr>
            </w:pPr>
            <w:r w:rsidRPr="00B719EA">
              <w:rPr>
                <w:rFonts w:ascii="Arial" w:hAnsi="Arial" w:cs="Arial"/>
                <w:sz w:val="20"/>
                <w:szCs w:val="20"/>
              </w:rPr>
              <w:t>6</w:t>
            </w:r>
          </w:p>
        </w:tc>
        <w:tc>
          <w:tcPr>
            <w:tcW w:w="0" w:type="auto"/>
          </w:tcPr>
          <w:p w14:paraId="264A9D7C" w14:textId="27AC5799" w:rsidR="002A7556" w:rsidRPr="00D71AD7" w:rsidRDefault="002A7556" w:rsidP="002A7556">
            <w:pPr>
              <w:rPr>
                <w:rFonts w:ascii="Arial" w:hAnsi="Arial" w:cs="Arial"/>
                <w:color w:val="000000"/>
                <w:sz w:val="20"/>
                <w:szCs w:val="20"/>
              </w:rPr>
            </w:pPr>
            <w:r w:rsidRPr="00B719EA">
              <w:rPr>
                <w:rFonts w:ascii="Arial" w:hAnsi="Arial" w:cs="Arial"/>
                <w:sz w:val="20"/>
                <w:szCs w:val="20"/>
              </w:rPr>
              <w:t>7/29/2014</w:t>
            </w:r>
          </w:p>
        </w:tc>
        <w:tc>
          <w:tcPr>
            <w:tcW w:w="0" w:type="auto"/>
          </w:tcPr>
          <w:p w14:paraId="17886D19" w14:textId="19A94C2C" w:rsidR="002A7556" w:rsidRDefault="002A7556" w:rsidP="002A7556">
            <w:pPr>
              <w:keepNext/>
              <w:keepLines/>
              <w:rPr>
                <w:rFonts w:ascii="Arial" w:hAnsi="Arial" w:cs="Arial"/>
                <w:sz w:val="20"/>
                <w:szCs w:val="20"/>
              </w:rPr>
            </w:pPr>
            <w:r w:rsidRPr="00B719EA">
              <w:rPr>
                <w:rFonts w:ascii="Arial" w:hAnsi="Arial" w:cs="Arial"/>
                <w:sz w:val="20"/>
                <w:szCs w:val="20"/>
              </w:rPr>
              <w:t>Tuesday</w:t>
            </w:r>
          </w:p>
        </w:tc>
        <w:tc>
          <w:tcPr>
            <w:tcW w:w="0" w:type="auto"/>
          </w:tcPr>
          <w:p w14:paraId="67CE23C2" w14:textId="3816F33B" w:rsidR="002A7556" w:rsidRPr="002A7556" w:rsidRDefault="002A7556" w:rsidP="002A7556">
            <w:pPr>
              <w:jc w:val="center"/>
              <w:rPr>
                <w:rFonts w:ascii="Arial" w:hAnsi="Arial" w:cs="Arial"/>
                <w:sz w:val="20"/>
                <w:szCs w:val="20"/>
              </w:rPr>
            </w:pPr>
            <w:r w:rsidRPr="002A7556">
              <w:rPr>
                <w:rFonts w:ascii="Arial" w:hAnsi="Arial" w:cs="Arial"/>
                <w:sz w:val="20"/>
                <w:szCs w:val="20"/>
              </w:rPr>
              <w:t>36.2</w:t>
            </w:r>
          </w:p>
        </w:tc>
        <w:tc>
          <w:tcPr>
            <w:tcW w:w="0" w:type="auto"/>
          </w:tcPr>
          <w:p w14:paraId="6A3EB4D9" w14:textId="23B26FD5" w:rsidR="002A7556" w:rsidRPr="002A7556" w:rsidRDefault="002A7556" w:rsidP="002A7556">
            <w:pPr>
              <w:jc w:val="center"/>
              <w:rPr>
                <w:rFonts w:ascii="Arial" w:hAnsi="Arial" w:cs="Arial"/>
                <w:sz w:val="20"/>
                <w:szCs w:val="20"/>
              </w:rPr>
            </w:pPr>
            <w:r w:rsidRPr="002A7556">
              <w:rPr>
                <w:rFonts w:ascii="Arial" w:hAnsi="Arial" w:cs="Arial"/>
                <w:sz w:val="20"/>
                <w:szCs w:val="20"/>
              </w:rPr>
              <w:t>22.4</w:t>
            </w:r>
          </w:p>
        </w:tc>
        <w:tc>
          <w:tcPr>
            <w:tcW w:w="0" w:type="auto"/>
          </w:tcPr>
          <w:p w14:paraId="02ACCDD7" w14:textId="48BB5AAD" w:rsidR="002A7556" w:rsidRPr="002A7556" w:rsidRDefault="002A7556" w:rsidP="002A7556">
            <w:pPr>
              <w:jc w:val="center"/>
              <w:rPr>
                <w:rFonts w:ascii="Arial" w:hAnsi="Arial" w:cs="Arial"/>
                <w:sz w:val="20"/>
                <w:szCs w:val="20"/>
              </w:rPr>
            </w:pPr>
            <w:r w:rsidRPr="002A7556">
              <w:rPr>
                <w:rFonts w:ascii="Arial" w:hAnsi="Arial" w:cs="Arial"/>
                <w:sz w:val="20"/>
                <w:szCs w:val="20"/>
              </w:rPr>
              <w:t>62%</w:t>
            </w:r>
          </w:p>
        </w:tc>
      </w:tr>
      <w:tr w:rsidR="002A7556" w14:paraId="2CA68980" w14:textId="77777777" w:rsidTr="001D2BA7">
        <w:trPr>
          <w:jc w:val="center"/>
        </w:trPr>
        <w:tc>
          <w:tcPr>
            <w:tcW w:w="0" w:type="auto"/>
            <w:vMerge/>
            <w:vAlign w:val="center"/>
          </w:tcPr>
          <w:p w14:paraId="39DC9552" w14:textId="77777777" w:rsidR="002A7556" w:rsidRDefault="002A7556" w:rsidP="002A7556">
            <w:pPr>
              <w:keepNext/>
              <w:keepLines/>
              <w:jc w:val="center"/>
              <w:rPr>
                <w:rFonts w:ascii="Arial" w:hAnsi="Arial" w:cs="Arial"/>
                <w:sz w:val="20"/>
                <w:szCs w:val="20"/>
              </w:rPr>
            </w:pPr>
          </w:p>
        </w:tc>
        <w:tc>
          <w:tcPr>
            <w:tcW w:w="0" w:type="auto"/>
          </w:tcPr>
          <w:p w14:paraId="5E59436D" w14:textId="0EDBE152" w:rsidR="002A7556" w:rsidRDefault="002A7556" w:rsidP="002A7556">
            <w:pPr>
              <w:keepNext/>
              <w:keepLines/>
              <w:jc w:val="center"/>
              <w:rPr>
                <w:rFonts w:ascii="Arial" w:hAnsi="Arial" w:cs="Arial"/>
                <w:sz w:val="20"/>
                <w:szCs w:val="20"/>
              </w:rPr>
            </w:pPr>
            <w:r w:rsidRPr="00B719EA">
              <w:rPr>
                <w:rFonts w:ascii="Arial" w:hAnsi="Arial" w:cs="Arial"/>
                <w:sz w:val="20"/>
                <w:szCs w:val="20"/>
              </w:rPr>
              <w:t>7</w:t>
            </w:r>
          </w:p>
        </w:tc>
        <w:tc>
          <w:tcPr>
            <w:tcW w:w="0" w:type="auto"/>
          </w:tcPr>
          <w:p w14:paraId="217CA83B" w14:textId="245FB625" w:rsidR="002A7556" w:rsidRPr="00D71AD7" w:rsidRDefault="002A7556" w:rsidP="002A7556">
            <w:pPr>
              <w:rPr>
                <w:rFonts w:ascii="Arial" w:hAnsi="Arial" w:cs="Arial"/>
                <w:color w:val="000000"/>
                <w:sz w:val="20"/>
                <w:szCs w:val="20"/>
              </w:rPr>
            </w:pPr>
            <w:r w:rsidRPr="00B719EA">
              <w:rPr>
                <w:rFonts w:ascii="Arial" w:hAnsi="Arial" w:cs="Arial"/>
                <w:sz w:val="20"/>
                <w:szCs w:val="20"/>
              </w:rPr>
              <w:t>7/30/2014</w:t>
            </w:r>
          </w:p>
        </w:tc>
        <w:tc>
          <w:tcPr>
            <w:tcW w:w="0" w:type="auto"/>
          </w:tcPr>
          <w:p w14:paraId="464EAE09" w14:textId="06DB7B7E" w:rsidR="002A7556" w:rsidRDefault="002A7556" w:rsidP="002A7556">
            <w:pPr>
              <w:keepNext/>
              <w:keepLines/>
              <w:rPr>
                <w:rFonts w:ascii="Arial" w:hAnsi="Arial" w:cs="Arial"/>
                <w:sz w:val="20"/>
                <w:szCs w:val="20"/>
              </w:rPr>
            </w:pPr>
            <w:r w:rsidRPr="00B719EA">
              <w:rPr>
                <w:rFonts w:ascii="Arial" w:hAnsi="Arial" w:cs="Arial"/>
                <w:sz w:val="20"/>
                <w:szCs w:val="20"/>
              </w:rPr>
              <w:t>Wednesday</w:t>
            </w:r>
          </w:p>
        </w:tc>
        <w:tc>
          <w:tcPr>
            <w:tcW w:w="0" w:type="auto"/>
          </w:tcPr>
          <w:p w14:paraId="53775780" w14:textId="637DFE31" w:rsidR="002A7556" w:rsidRPr="002A7556" w:rsidRDefault="002A7556" w:rsidP="002A7556">
            <w:pPr>
              <w:jc w:val="center"/>
              <w:rPr>
                <w:rFonts w:ascii="Arial" w:hAnsi="Arial" w:cs="Arial"/>
                <w:sz w:val="20"/>
                <w:szCs w:val="20"/>
              </w:rPr>
            </w:pPr>
            <w:r w:rsidRPr="002A7556">
              <w:rPr>
                <w:rFonts w:ascii="Arial" w:hAnsi="Arial" w:cs="Arial"/>
                <w:sz w:val="20"/>
                <w:szCs w:val="20"/>
              </w:rPr>
              <w:t>26.9</w:t>
            </w:r>
          </w:p>
        </w:tc>
        <w:tc>
          <w:tcPr>
            <w:tcW w:w="0" w:type="auto"/>
          </w:tcPr>
          <w:p w14:paraId="2464A73D" w14:textId="0F790976" w:rsidR="002A7556" w:rsidRPr="002A7556" w:rsidRDefault="002A7556" w:rsidP="002A7556">
            <w:pPr>
              <w:jc w:val="center"/>
              <w:rPr>
                <w:rFonts w:ascii="Arial" w:hAnsi="Arial" w:cs="Arial"/>
                <w:sz w:val="20"/>
                <w:szCs w:val="20"/>
              </w:rPr>
            </w:pPr>
            <w:r w:rsidRPr="002A7556">
              <w:rPr>
                <w:rFonts w:ascii="Arial" w:hAnsi="Arial" w:cs="Arial"/>
                <w:sz w:val="20"/>
                <w:szCs w:val="20"/>
              </w:rPr>
              <w:t>24.0</w:t>
            </w:r>
          </w:p>
        </w:tc>
        <w:tc>
          <w:tcPr>
            <w:tcW w:w="0" w:type="auto"/>
          </w:tcPr>
          <w:p w14:paraId="44708B8D" w14:textId="56927C0F" w:rsidR="002A7556" w:rsidRPr="002A7556" w:rsidRDefault="002A7556" w:rsidP="002A7556">
            <w:pPr>
              <w:jc w:val="center"/>
              <w:rPr>
                <w:rFonts w:ascii="Arial" w:hAnsi="Arial" w:cs="Arial"/>
                <w:sz w:val="20"/>
                <w:szCs w:val="20"/>
              </w:rPr>
            </w:pPr>
            <w:r w:rsidRPr="002A7556">
              <w:rPr>
                <w:rFonts w:ascii="Arial" w:hAnsi="Arial" w:cs="Arial"/>
                <w:sz w:val="20"/>
                <w:szCs w:val="20"/>
              </w:rPr>
              <w:t>89%</w:t>
            </w:r>
          </w:p>
        </w:tc>
      </w:tr>
      <w:tr w:rsidR="002A7556" w14:paraId="10F7E03C" w14:textId="77777777" w:rsidTr="001D2BA7">
        <w:trPr>
          <w:jc w:val="center"/>
        </w:trPr>
        <w:tc>
          <w:tcPr>
            <w:tcW w:w="0" w:type="auto"/>
            <w:vMerge/>
            <w:vAlign w:val="center"/>
          </w:tcPr>
          <w:p w14:paraId="014DA195" w14:textId="77777777" w:rsidR="002A7556" w:rsidRDefault="002A7556" w:rsidP="002A7556">
            <w:pPr>
              <w:keepNext/>
              <w:keepLines/>
              <w:jc w:val="center"/>
              <w:rPr>
                <w:rFonts w:ascii="Arial" w:hAnsi="Arial" w:cs="Arial"/>
                <w:sz w:val="20"/>
                <w:szCs w:val="20"/>
              </w:rPr>
            </w:pPr>
          </w:p>
        </w:tc>
        <w:tc>
          <w:tcPr>
            <w:tcW w:w="0" w:type="auto"/>
          </w:tcPr>
          <w:p w14:paraId="1A3C7E3D" w14:textId="2D1D4048" w:rsidR="002A7556" w:rsidRDefault="002A7556" w:rsidP="002A7556">
            <w:pPr>
              <w:keepNext/>
              <w:keepLines/>
              <w:jc w:val="center"/>
              <w:rPr>
                <w:rFonts w:ascii="Arial" w:hAnsi="Arial" w:cs="Arial"/>
                <w:sz w:val="20"/>
                <w:szCs w:val="20"/>
              </w:rPr>
            </w:pPr>
            <w:r w:rsidRPr="00B719EA">
              <w:rPr>
                <w:rFonts w:ascii="Arial" w:hAnsi="Arial" w:cs="Arial"/>
                <w:sz w:val="20"/>
                <w:szCs w:val="20"/>
              </w:rPr>
              <w:t>8</w:t>
            </w:r>
          </w:p>
        </w:tc>
        <w:tc>
          <w:tcPr>
            <w:tcW w:w="0" w:type="auto"/>
          </w:tcPr>
          <w:p w14:paraId="1DC3AAFA" w14:textId="5637C3C6" w:rsidR="002A7556" w:rsidRPr="00D71AD7" w:rsidRDefault="002A7556" w:rsidP="002A7556">
            <w:pPr>
              <w:rPr>
                <w:rFonts w:ascii="Arial" w:hAnsi="Arial" w:cs="Arial"/>
                <w:color w:val="000000"/>
                <w:sz w:val="20"/>
                <w:szCs w:val="20"/>
              </w:rPr>
            </w:pPr>
            <w:r w:rsidRPr="00B719EA">
              <w:rPr>
                <w:rFonts w:ascii="Arial" w:hAnsi="Arial" w:cs="Arial"/>
                <w:sz w:val="20"/>
                <w:szCs w:val="20"/>
              </w:rPr>
              <w:t>7/31/2014</w:t>
            </w:r>
          </w:p>
        </w:tc>
        <w:tc>
          <w:tcPr>
            <w:tcW w:w="0" w:type="auto"/>
          </w:tcPr>
          <w:p w14:paraId="7682FC5D" w14:textId="345E76EB" w:rsidR="002A7556" w:rsidRDefault="002A7556" w:rsidP="002A7556">
            <w:pPr>
              <w:keepNext/>
              <w:keepLines/>
              <w:rPr>
                <w:rFonts w:ascii="Arial" w:hAnsi="Arial" w:cs="Arial"/>
                <w:sz w:val="20"/>
                <w:szCs w:val="20"/>
              </w:rPr>
            </w:pPr>
            <w:r w:rsidRPr="00B719EA">
              <w:rPr>
                <w:rFonts w:ascii="Arial" w:hAnsi="Arial" w:cs="Arial"/>
                <w:sz w:val="20"/>
                <w:szCs w:val="20"/>
              </w:rPr>
              <w:t>Thursday</w:t>
            </w:r>
          </w:p>
        </w:tc>
        <w:tc>
          <w:tcPr>
            <w:tcW w:w="0" w:type="auto"/>
          </w:tcPr>
          <w:p w14:paraId="1A18858B" w14:textId="738D7CE2" w:rsidR="002A7556" w:rsidRPr="002A7556" w:rsidRDefault="002A7556" w:rsidP="002A7556">
            <w:pPr>
              <w:jc w:val="center"/>
              <w:rPr>
                <w:rFonts w:ascii="Arial" w:hAnsi="Arial" w:cs="Arial"/>
                <w:sz w:val="20"/>
                <w:szCs w:val="20"/>
              </w:rPr>
            </w:pPr>
            <w:r w:rsidRPr="002A7556">
              <w:rPr>
                <w:rFonts w:ascii="Arial" w:hAnsi="Arial" w:cs="Arial"/>
                <w:sz w:val="20"/>
                <w:szCs w:val="20"/>
              </w:rPr>
              <w:t>24.2</w:t>
            </w:r>
          </w:p>
        </w:tc>
        <w:tc>
          <w:tcPr>
            <w:tcW w:w="0" w:type="auto"/>
          </w:tcPr>
          <w:p w14:paraId="39C7EA35" w14:textId="316CA77E" w:rsidR="002A7556" w:rsidRPr="002A7556" w:rsidRDefault="002A7556" w:rsidP="002A7556">
            <w:pPr>
              <w:jc w:val="center"/>
              <w:rPr>
                <w:rFonts w:ascii="Arial" w:hAnsi="Arial" w:cs="Arial"/>
                <w:sz w:val="20"/>
                <w:szCs w:val="20"/>
              </w:rPr>
            </w:pPr>
            <w:r w:rsidRPr="002A7556">
              <w:rPr>
                <w:rFonts w:ascii="Arial" w:hAnsi="Arial" w:cs="Arial"/>
                <w:sz w:val="20"/>
                <w:szCs w:val="20"/>
              </w:rPr>
              <w:t>26.1</w:t>
            </w:r>
          </w:p>
        </w:tc>
        <w:tc>
          <w:tcPr>
            <w:tcW w:w="0" w:type="auto"/>
          </w:tcPr>
          <w:p w14:paraId="4570BC62" w14:textId="4CAE23CA" w:rsidR="002A7556" w:rsidRPr="002A7556" w:rsidRDefault="002A7556" w:rsidP="002A7556">
            <w:pPr>
              <w:jc w:val="center"/>
              <w:rPr>
                <w:rFonts w:ascii="Arial" w:hAnsi="Arial" w:cs="Arial"/>
                <w:sz w:val="20"/>
                <w:szCs w:val="20"/>
              </w:rPr>
            </w:pPr>
            <w:r w:rsidRPr="002A7556">
              <w:rPr>
                <w:rFonts w:ascii="Arial" w:hAnsi="Arial" w:cs="Arial"/>
                <w:sz w:val="20"/>
                <w:szCs w:val="20"/>
              </w:rPr>
              <w:t>108%</w:t>
            </w:r>
          </w:p>
        </w:tc>
      </w:tr>
      <w:tr w:rsidR="002A7556" w14:paraId="0E06DA21" w14:textId="77777777" w:rsidTr="001D2BA7">
        <w:trPr>
          <w:jc w:val="center"/>
        </w:trPr>
        <w:tc>
          <w:tcPr>
            <w:tcW w:w="0" w:type="auto"/>
            <w:vMerge/>
            <w:vAlign w:val="center"/>
          </w:tcPr>
          <w:p w14:paraId="4D899B61" w14:textId="77777777" w:rsidR="002A7556" w:rsidRDefault="002A7556" w:rsidP="002A7556">
            <w:pPr>
              <w:keepNext/>
              <w:keepLines/>
              <w:jc w:val="center"/>
              <w:rPr>
                <w:rFonts w:ascii="Arial" w:hAnsi="Arial" w:cs="Arial"/>
                <w:sz w:val="20"/>
                <w:szCs w:val="20"/>
              </w:rPr>
            </w:pPr>
          </w:p>
        </w:tc>
        <w:tc>
          <w:tcPr>
            <w:tcW w:w="0" w:type="auto"/>
          </w:tcPr>
          <w:p w14:paraId="331AA950" w14:textId="2704F61B" w:rsidR="002A7556" w:rsidRDefault="002A7556" w:rsidP="002A7556">
            <w:pPr>
              <w:keepNext/>
              <w:keepLines/>
              <w:jc w:val="center"/>
              <w:rPr>
                <w:rFonts w:ascii="Arial" w:hAnsi="Arial" w:cs="Arial"/>
                <w:sz w:val="20"/>
                <w:szCs w:val="20"/>
              </w:rPr>
            </w:pPr>
            <w:r w:rsidRPr="00B719EA">
              <w:rPr>
                <w:rFonts w:ascii="Arial" w:hAnsi="Arial" w:cs="Arial"/>
                <w:sz w:val="20"/>
                <w:szCs w:val="20"/>
              </w:rPr>
              <w:t>9</w:t>
            </w:r>
          </w:p>
        </w:tc>
        <w:tc>
          <w:tcPr>
            <w:tcW w:w="0" w:type="auto"/>
          </w:tcPr>
          <w:p w14:paraId="20DE2A12" w14:textId="04623065" w:rsidR="002A7556" w:rsidRPr="00D71AD7" w:rsidRDefault="002A7556" w:rsidP="002A7556">
            <w:pPr>
              <w:rPr>
                <w:rFonts w:ascii="Arial" w:hAnsi="Arial" w:cs="Arial"/>
                <w:color w:val="000000"/>
                <w:sz w:val="20"/>
                <w:szCs w:val="20"/>
              </w:rPr>
            </w:pPr>
            <w:r w:rsidRPr="00B719EA">
              <w:rPr>
                <w:rFonts w:ascii="Arial" w:hAnsi="Arial" w:cs="Arial"/>
                <w:sz w:val="20"/>
                <w:szCs w:val="20"/>
              </w:rPr>
              <w:t>8/1/2014</w:t>
            </w:r>
          </w:p>
        </w:tc>
        <w:tc>
          <w:tcPr>
            <w:tcW w:w="0" w:type="auto"/>
          </w:tcPr>
          <w:p w14:paraId="0600BD60" w14:textId="45E74A37" w:rsidR="002A7556" w:rsidRDefault="002A7556" w:rsidP="002A7556">
            <w:pPr>
              <w:keepNext/>
              <w:keepLines/>
              <w:rPr>
                <w:rFonts w:ascii="Arial" w:hAnsi="Arial" w:cs="Arial"/>
                <w:sz w:val="20"/>
                <w:szCs w:val="20"/>
              </w:rPr>
            </w:pPr>
            <w:r w:rsidRPr="00B719EA">
              <w:rPr>
                <w:rFonts w:ascii="Arial" w:hAnsi="Arial" w:cs="Arial"/>
                <w:sz w:val="20"/>
                <w:szCs w:val="20"/>
              </w:rPr>
              <w:t>Friday</w:t>
            </w:r>
          </w:p>
        </w:tc>
        <w:tc>
          <w:tcPr>
            <w:tcW w:w="0" w:type="auto"/>
          </w:tcPr>
          <w:p w14:paraId="656DAE44" w14:textId="601DC2E6" w:rsidR="002A7556" w:rsidRPr="002A7556" w:rsidRDefault="002A7556" w:rsidP="002A7556">
            <w:pPr>
              <w:jc w:val="center"/>
              <w:rPr>
                <w:rFonts w:ascii="Arial" w:hAnsi="Arial" w:cs="Arial"/>
                <w:sz w:val="20"/>
                <w:szCs w:val="20"/>
              </w:rPr>
            </w:pPr>
          </w:p>
        </w:tc>
        <w:tc>
          <w:tcPr>
            <w:tcW w:w="0" w:type="auto"/>
          </w:tcPr>
          <w:p w14:paraId="3BC34EDB" w14:textId="0E0E92AE" w:rsidR="002A7556" w:rsidRPr="002A7556" w:rsidRDefault="002A7556" w:rsidP="002A7556">
            <w:pPr>
              <w:jc w:val="center"/>
              <w:rPr>
                <w:rFonts w:ascii="Arial" w:hAnsi="Arial" w:cs="Arial"/>
                <w:sz w:val="20"/>
                <w:szCs w:val="20"/>
              </w:rPr>
            </w:pPr>
          </w:p>
        </w:tc>
        <w:tc>
          <w:tcPr>
            <w:tcW w:w="0" w:type="auto"/>
          </w:tcPr>
          <w:p w14:paraId="4EB4ED77" w14:textId="72D91BDB" w:rsidR="002A7556" w:rsidRPr="002A7556" w:rsidRDefault="002A7556" w:rsidP="002A7556">
            <w:pPr>
              <w:jc w:val="center"/>
              <w:rPr>
                <w:rFonts w:ascii="Arial" w:hAnsi="Arial" w:cs="Arial"/>
                <w:sz w:val="20"/>
                <w:szCs w:val="20"/>
              </w:rPr>
            </w:pPr>
          </w:p>
        </w:tc>
      </w:tr>
      <w:tr w:rsidR="002A7556" w14:paraId="23B0BD3A" w14:textId="77777777" w:rsidTr="001D2BA7">
        <w:trPr>
          <w:jc w:val="center"/>
        </w:trPr>
        <w:tc>
          <w:tcPr>
            <w:tcW w:w="0" w:type="auto"/>
            <w:vMerge/>
            <w:vAlign w:val="center"/>
          </w:tcPr>
          <w:p w14:paraId="24D41D06" w14:textId="77777777" w:rsidR="002A7556" w:rsidRDefault="002A7556" w:rsidP="002A7556">
            <w:pPr>
              <w:keepNext/>
              <w:keepLines/>
              <w:jc w:val="center"/>
              <w:rPr>
                <w:rFonts w:ascii="Arial" w:hAnsi="Arial" w:cs="Arial"/>
                <w:sz w:val="20"/>
                <w:szCs w:val="20"/>
              </w:rPr>
            </w:pPr>
          </w:p>
        </w:tc>
        <w:tc>
          <w:tcPr>
            <w:tcW w:w="0" w:type="auto"/>
          </w:tcPr>
          <w:p w14:paraId="786A3409" w14:textId="5516EA4F" w:rsidR="002A7556" w:rsidRDefault="002A7556" w:rsidP="002A7556">
            <w:pPr>
              <w:keepNext/>
              <w:keepLines/>
              <w:jc w:val="center"/>
              <w:rPr>
                <w:rFonts w:ascii="Arial" w:hAnsi="Arial" w:cs="Arial"/>
                <w:sz w:val="20"/>
                <w:szCs w:val="20"/>
              </w:rPr>
            </w:pPr>
            <w:r w:rsidRPr="00B719EA">
              <w:rPr>
                <w:rFonts w:ascii="Arial" w:hAnsi="Arial" w:cs="Arial"/>
                <w:sz w:val="20"/>
                <w:szCs w:val="20"/>
              </w:rPr>
              <w:t>10</w:t>
            </w:r>
          </w:p>
        </w:tc>
        <w:tc>
          <w:tcPr>
            <w:tcW w:w="0" w:type="auto"/>
          </w:tcPr>
          <w:p w14:paraId="1D5B3AB4" w14:textId="6B27B9BB" w:rsidR="002A7556" w:rsidRPr="00D71AD7" w:rsidRDefault="002A7556" w:rsidP="002A7556">
            <w:pPr>
              <w:rPr>
                <w:rFonts w:ascii="Arial" w:hAnsi="Arial" w:cs="Arial"/>
                <w:color w:val="000000"/>
                <w:sz w:val="20"/>
                <w:szCs w:val="20"/>
              </w:rPr>
            </w:pPr>
            <w:r w:rsidRPr="00B719EA">
              <w:rPr>
                <w:rFonts w:ascii="Arial" w:hAnsi="Arial" w:cs="Arial"/>
                <w:sz w:val="20"/>
                <w:szCs w:val="20"/>
              </w:rPr>
              <w:t>9/12/2014</w:t>
            </w:r>
          </w:p>
        </w:tc>
        <w:tc>
          <w:tcPr>
            <w:tcW w:w="0" w:type="auto"/>
          </w:tcPr>
          <w:p w14:paraId="4FE7C190" w14:textId="6E0D1D63" w:rsidR="002A7556" w:rsidRDefault="002A7556" w:rsidP="002A7556">
            <w:pPr>
              <w:keepNext/>
              <w:keepLines/>
              <w:rPr>
                <w:rFonts w:ascii="Arial" w:hAnsi="Arial" w:cs="Arial"/>
                <w:sz w:val="20"/>
                <w:szCs w:val="20"/>
              </w:rPr>
            </w:pPr>
            <w:r w:rsidRPr="00B719EA">
              <w:rPr>
                <w:rFonts w:ascii="Arial" w:hAnsi="Arial" w:cs="Arial"/>
                <w:sz w:val="20"/>
                <w:szCs w:val="20"/>
              </w:rPr>
              <w:t>Friday</w:t>
            </w:r>
          </w:p>
        </w:tc>
        <w:tc>
          <w:tcPr>
            <w:tcW w:w="0" w:type="auto"/>
          </w:tcPr>
          <w:p w14:paraId="08F997AB" w14:textId="640229CD" w:rsidR="002A7556" w:rsidRPr="002A7556" w:rsidRDefault="002A7556" w:rsidP="002A7556">
            <w:pPr>
              <w:jc w:val="center"/>
              <w:rPr>
                <w:rFonts w:ascii="Arial" w:hAnsi="Arial" w:cs="Arial"/>
                <w:sz w:val="20"/>
                <w:szCs w:val="20"/>
              </w:rPr>
            </w:pPr>
          </w:p>
        </w:tc>
        <w:tc>
          <w:tcPr>
            <w:tcW w:w="0" w:type="auto"/>
          </w:tcPr>
          <w:p w14:paraId="6A3C333D" w14:textId="31033B2E" w:rsidR="002A7556" w:rsidRPr="002A7556" w:rsidRDefault="002A7556" w:rsidP="002A7556">
            <w:pPr>
              <w:jc w:val="center"/>
              <w:rPr>
                <w:rFonts w:ascii="Arial" w:hAnsi="Arial" w:cs="Arial"/>
                <w:sz w:val="20"/>
                <w:szCs w:val="20"/>
              </w:rPr>
            </w:pPr>
          </w:p>
        </w:tc>
        <w:tc>
          <w:tcPr>
            <w:tcW w:w="0" w:type="auto"/>
          </w:tcPr>
          <w:p w14:paraId="2286AD3D" w14:textId="70CAD967" w:rsidR="002A7556" w:rsidRPr="002A7556" w:rsidRDefault="002A7556" w:rsidP="002A7556">
            <w:pPr>
              <w:jc w:val="center"/>
              <w:rPr>
                <w:rFonts w:ascii="Arial" w:hAnsi="Arial" w:cs="Arial"/>
                <w:sz w:val="20"/>
                <w:szCs w:val="20"/>
              </w:rPr>
            </w:pPr>
          </w:p>
        </w:tc>
      </w:tr>
      <w:tr w:rsidR="002A7556" w14:paraId="34030438" w14:textId="77777777" w:rsidTr="001D2BA7">
        <w:trPr>
          <w:jc w:val="center"/>
        </w:trPr>
        <w:tc>
          <w:tcPr>
            <w:tcW w:w="0" w:type="auto"/>
            <w:vMerge/>
            <w:vAlign w:val="center"/>
          </w:tcPr>
          <w:p w14:paraId="1B21812D" w14:textId="77777777" w:rsidR="002A7556" w:rsidRDefault="002A7556" w:rsidP="002A7556">
            <w:pPr>
              <w:keepNext/>
              <w:keepLines/>
              <w:jc w:val="center"/>
              <w:rPr>
                <w:rFonts w:ascii="Arial" w:hAnsi="Arial" w:cs="Arial"/>
                <w:sz w:val="20"/>
                <w:szCs w:val="20"/>
              </w:rPr>
            </w:pPr>
          </w:p>
        </w:tc>
        <w:tc>
          <w:tcPr>
            <w:tcW w:w="0" w:type="auto"/>
          </w:tcPr>
          <w:p w14:paraId="6F656380" w14:textId="082D52E2" w:rsidR="002A7556" w:rsidRDefault="002A7556" w:rsidP="002A7556">
            <w:pPr>
              <w:keepNext/>
              <w:keepLines/>
              <w:jc w:val="center"/>
              <w:rPr>
                <w:rFonts w:ascii="Arial" w:hAnsi="Arial" w:cs="Arial"/>
                <w:sz w:val="20"/>
                <w:szCs w:val="20"/>
              </w:rPr>
            </w:pPr>
            <w:r w:rsidRPr="00B719EA">
              <w:rPr>
                <w:rFonts w:ascii="Arial" w:hAnsi="Arial" w:cs="Arial"/>
                <w:sz w:val="20"/>
                <w:szCs w:val="20"/>
              </w:rPr>
              <w:t>11</w:t>
            </w:r>
          </w:p>
        </w:tc>
        <w:tc>
          <w:tcPr>
            <w:tcW w:w="0" w:type="auto"/>
          </w:tcPr>
          <w:p w14:paraId="1FA722A2" w14:textId="4DD15B94" w:rsidR="002A7556" w:rsidRPr="00D71AD7" w:rsidRDefault="002A7556" w:rsidP="002A7556">
            <w:pPr>
              <w:rPr>
                <w:rFonts w:ascii="Arial" w:hAnsi="Arial" w:cs="Arial"/>
                <w:color w:val="000000"/>
                <w:sz w:val="20"/>
                <w:szCs w:val="20"/>
              </w:rPr>
            </w:pPr>
            <w:r w:rsidRPr="00B719EA">
              <w:rPr>
                <w:rFonts w:ascii="Arial" w:hAnsi="Arial" w:cs="Arial"/>
                <w:sz w:val="20"/>
                <w:szCs w:val="20"/>
              </w:rPr>
              <w:t>9/15/2014</w:t>
            </w:r>
          </w:p>
        </w:tc>
        <w:tc>
          <w:tcPr>
            <w:tcW w:w="0" w:type="auto"/>
          </w:tcPr>
          <w:p w14:paraId="69E86183" w14:textId="73B30E6F" w:rsidR="002A7556" w:rsidRDefault="002A7556" w:rsidP="002A7556">
            <w:pPr>
              <w:keepNext/>
              <w:keepLines/>
              <w:rPr>
                <w:rFonts w:ascii="Arial" w:hAnsi="Arial" w:cs="Arial"/>
                <w:sz w:val="20"/>
                <w:szCs w:val="20"/>
              </w:rPr>
            </w:pPr>
            <w:r w:rsidRPr="00B719EA">
              <w:rPr>
                <w:rFonts w:ascii="Arial" w:hAnsi="Arial" w:cs="Arial"/>
                <w:sz w:val="20"/>
                <w:szCs w:val="20"/>
              </w:rPr>
              <w:t>Monday</w:t>
            </w:r>
          </w:p>
        </w:tc>
        <w:tc>
          <w:tcPr>
            <w:tcW w:w="0" w:type="auto"/>
          </w:tcPr>
          <w:p w14:paraId="12F1D56E" w14:textId="001D9D38" w:rsidR="002A7556" w:rsidRPr="002A7556" w:rsidRDefault="002A7556" w:rsidP="002A7556">
            <w:pPr>
              <w:jc w:val="center"/>
              <w:rPr>
                <w:rFonts w:ascii="Arial" w:hAnsi="Arial" w:cs="Arial"/>
                <w:sz w:val="20"/>
                <w:szCs w:val="20"/>
              </w:rPr>
            </w:pPr>
          </w:p>
        </w:tc>
        <w:tc>
          <w:tcPr>
            <w:tcW w:w="0" w:type="auto"/>
          </w:tcPr>
          <w:p w14:paraId="62959395" w14:textId="2A9DBB0D" w:rsidR="002A7556" w:rsidRPr="002A7556" w:rsidRDefault="002A7556" w:rsidP="002A7556">
            <w:pPr>
              <w:jc w:val="center"/>
              <w:rPr>
                <w:rFonts w:ascii="Arial" w:hAnsi="Arial" w:cs="Arial"/>
                <w:sz w:val="20"/>
                <w:szCs w:val="20"/>
              </w:rPr>
            </w:pPr>
          </w:p>
        </w:tc>
        <w:tc>
          <w:tcPr>
            <w:tcW w:w="0" w:type="auto"/>
          </w:tcPr>
          <w:p w14:paraId="1F4BA4EE" w14:textId="420A925C" w:rsidR="002A7556" w:rsidRPr="002A7556" w:rsidRDefault="002A7556" w:rsidP="002A7556">
            <w:pPr>
              <w:jc w:val="center"/>
              <w:rPr>
                <w:rFonts w:ascii="Arial" w:hAnsi="Arial" w:cs="Arial"/>
                <w:sz w:val="20"/>
                <w:szCs w:val="20"/>
              </w:rPr>
            </w:pPr>
          </w:p>
        </w:tc>
      </w:tr>
      <w:tr w:rsidR="002A7556" w14:paraId="3546CA12" w14:textId="77777777" w:rsidTr="001D2BA7">
        <w:trPr>
          <w:jc w:val="center"/>
        </w:trPr>
        <w:tc>
          <w:tcPr>
            <w:tcW w:w="0" w:type="auto"/>
            <w:vMerge/>
            <w:vAlign w:val="center"/>
          </w:tcPr>
          <w:p w14:paraId="0D414F1D" w14:textId="77777777" w:rsidR="002A7556" w:rsidRDefault="002A7556" w:rsidP="002A7556">
            <w:pPr>
              <w:keepNext/>
              <w:keepLines/>
              <w:jc w:val="center"/>
              <w:rPr>
                <w:rFonts w:ascii="Arial" w:hAnsi="Arial" w:cs="Arial"/>
                <w:sz w:val="20"/>
                <w:szCs w:val="20"/>
              </w:rPr>
            </w:pPr>
          </w:p>
        </w:tc>
        <w:tc>
          <w:tcPr>
            <w:tcW w:w="0" w:type="auto"/>
          </w:tcPr>
          <w:p w14:paraId="1D84B499" w14:textId="55CBA591" w:rsidR="002A7556" w:rsidRDefault="002A7556" w:rsidP="002A7556">
            <w:pPr>
              <w:keepNext/>
              <w:keepLines/>
              <w:jc w:val="center"/>
              <w:rPr>
                <w:rFonts w:ascii="Arial" w:hAnsi="Arial" w:cs="Arial"/>
                <w:sz w:val="20"/>
                <w:szCs w:val="20"/>
              </w:rPr>
            </w:pPr>
            <w:r w:rsidRPr="00B719EA">
              <w:rPr>
                <w:rFonts w:ascii="Arial" w:hAnsi="Arial" w:cs="Arial"/>
                <w:sz w:val="20"/>
                <w:szCs w:val="20"/>
              </w:rPr>
              <w:t>12</w:t>
            </w:r>
          </w:p>
        </w:tc>
        <w:tc>
          <w:tcPr>
            <w:tcW w:w="0" w:type="auto"/>
          </w:tcPr>
          <w:p w14:paraId="071119BE" w14:textId="684CD6E9" w:rsidR="002A7556" w:rsidRPr="00D71AD7" w:rsidRDefault="002A7556" w:rsidP="002A7556">
            <w:pPr>
              <w:rPr>
                <w:rFonts w:ascii="Arial" w:hAnsi="Arial" w:cs="Arial"/>
                <w:color w:val="000000"/>
                <w:sz w:val="20"/>
                <w:szCs w:val="20"/>
              </w:rPr>
            </w:pPr>
            <w:r w:rsidRPr="00B719EA">
              <w:rPr>
                <w:rFonts w:ascii="Arial" w:hAnsi="Arial" w:cs="Arial"/>
                <w:sz w:val="20"/>
                <w:szCs w:val="20"/>
              </w:rPr>
              <w:t>9/16/2014</w:t>
            </w:r>
          </w:p>
        </w:tc>
        <w:tc>
          <w:tcPr>
            <w:tcW w:w="0" w:type="auto"/>
          </w:tcPr>
          <w:p w14:paraId="36153E6E" w14:textId="5C003F61" w:rsidR="002A7556" w:rsidRDefault="002A7556" w:rsidP="002A7556">
            <w:pPr>
              <w:keepNext/>
              <w:keepLines/>
              <w:rPr>
                <w:rFonts w:ascii="Arial" w:hAnsi="Arial" w:cs="Arial"/>
                <w:sz w:val="20"/>
                <w:szCs w:val="20"/>
              </w:rPr>
            </w:pPr>
            <w:r w:rsidRPr="00B719EA">
              <w:rPr>
                <w:rFonts w:ascii="Arial" w:hAnsi="Arial" w:cs="Arial"/>
                <w:sz w:val="20"/>
                <w:szCs w:val="20"/>
              </w:rPr>
              <w:t>Tuesday</w:t>
            </w:r>
          </w:p>
        </w:tc>
        <w:tc>
          <w:tcPr>
            <w:tcW w:w="0" w:type="auto"/>
          </w:tcPr>
          <w:p w14:paraId="6808C279" w14:textId="5870DB6B" w:rsidR="002A7556" w:rsidRPr="002A7556" w:rsidRDefault="002A7556" w:rsidP="002A7556">
            <w:pPr>
              <w:jc w:val="center"/>
              <w:rPr>
                <w:rFonts w:ascii="Arial" w:hAnsi="Arial" w:cs="Arial"/>
                <w:sz w:val="20"/>
                <w:szCs w:val="20"/>
              </w:rPr>
            </w:pPr>
            <w:r w:rsidRPr="002A7556">
              <w:rPr>
                <w:rFonts w:ascii="Arial" w:hAnsi="Arial" w:cs="Arial"/>
                <w:sz w:val="20"/>
                <w:szCs w:val="20"/>
              </w:rPr>
              <w:t>21.9</w:t>
            </w:r>
          </w:p>
        </w:tc>
        <w:tc>
          <w:tcPr>
            <w:tcW w:w="0" w:type="auto"/>
          </w:tcPr>
          <w:p w14:paraId="331984DC" w14:textId="7AC452DC" w:rsidR="002A7556" w:rsidRPr="002A7556" w:rsidRDefault="00261E0A" w:rsidP="002A7556">
            <w:pPr>
              <w:jc w:val="center"/>
              <w:rPr>
                <w:rFonts w:ascii="Arial" w:hAnsi="Arial" w:cs="Arial"/>
                <w:sz w:val="20"/>
                <w:szCs w:val="20"/>
              </w:rPr>
            </w:pPr>
            <w:r>
              <w:rPr>
                <w:rFonts w:ascii="Arial" w:hAnsi="Arial" w:cs="Arial"/>
                <w:sz w:val="20"/>
                <w:szCs w:val="20"/>
              </w:rPr>
              <w:t>26.8</w:t>
            </w:r>
          </w:p>
        </w:tc>
        <w:tc>
          <w:tcPr>
            <w:tcW w:w="0" w:type="auto"/>
          </w:tcPr>
          <w:p w14:paraId="750AAAC9" w14:textId="57D134CF" w:rsidR="002A7556" w:rsidRPr="002A7556" w:rsidRDefault="002A7556" w:rsidP="00261E0A">
            <w:pPr>
              <w:jc w:val="center"/>
              <w:rPr>
                <w:rFonts w:ascii="Arial" w:hAnsi="Arial" w:cs="Arial"/>
                <w:sz w:val="20"/>
                <w:szCs w:val="20"/>
              </w:rPr>
            </w:pPr>
            <w:r w:rsidRPr="002A7556">
              <w:rPr>
                <w:rFonts w:ascii="Arial" w:hAnsi="Arial" w:cs="Arial"/>
                <w:sz w:val="20"/>
                <w:szCs w:val="20"/>
              </w:rPr>
              <w:t>1</w:t>
            </w:r>
            <w:r w:rsidR="00261E0A">
              <w:rPr>
                <w:rFonts w:ascii="Arial" w:hAnsi="Arial" w:cs="Arial"/>
                <w:sz w:val="20"/>
                <w:szCs w:val="20"/>
              </w:rPr>
              <w:t>22</w:t>
            </w:r>
            <w:r w:rsidRPr="002A7556">
              <w:rPr>
                <w:rFonts w:ascii="Arial" w:hAnsi="Arial" w:cs="Arial"/>
                <w:sz w:val="20"/>
                <w:szCs w:val="20"/>
              </w:rPr>
              <w:t>%</w:t>
            </w:r>
          </w:p>
        </w:tc>
      </w:tr>
      <w:tr w:rsidR="002F0EE6" w14:paraId="6CB94D0B" w14:textId="77777777" w:rsidTr="0058386F">
        <w:trPr>
          <w:jc w:val="center"/>
        </w:trPr>
        <w:tc>
          <w:tcPr>
            <w:tcW w:w="0" w:type="auto"/>
            <w:vMerge/>
            <w:vAlign w:val="center"/>
          </w:tcPr>
          <w:p w14:paraId="77C2E17D" w14:textId="77777777" w:rsidR="002F0EE6" w:rsidRDefault="002F0EE6" w:rsidP="002F0EE6">
            <w:pPr>
              <w:keepNext/>
              <w:keepLines/>
              <w:jc w:val="center"/>
              <w:rPr>
                <w:rFonts w:ascii="Arial" w:hAnsi="Arial" w:cs="Arial"/>
                <w:sz w:val="20"/>
                <w:szCs w:val="20"/>
              </w:rPr>
            </w:pPr>
          </w:p>
        </w:tc>
        <w:tc>
          <w:tcPr>
            <w:tcW w:w="0" w:type="auto"/>
            <w:gridSpan w:val="3"/>
          </w:tcPr>
          <w:p w14:paraId="0A516728" w14:textId="77777777" w:rsidR="002F0EE6" w:rsidRPr="0058386F" w:rsidRDefault="002F0EE6" w:rsidP="002F0EE6">
            <w:pPr>
              <w:keepNext/>
              <w:keepLines/>
              <w:jc w:val="right"/>
              <w:rPr>
                <w:rFonts w:ascii="Arial" w:hAnsi="Arial" w:cs="Arial"/>
                <w:b/>
                <w:sz w:val="20"/>
                <w:szCs w:val="20"/>
              </w:rPr>
            </w:pPr>
            <w:r w:rsidRPr="0058386F">
              <w:rPr>
                <w:rFonts w:ascii="Arial" w:hAnsi="Arial" w:cs="Arial"/>
                <w:b/>
                <w:sz w:val="20"/>
                <w:szCs w:val="20"/>
              </w:rPr>
              <w:t>Average</w:t>
            </w:r>
            <w:r>
              <w:rPr>
                <w:rFonts w:ascii="Arial" w:hAnsi="Arial" w:cs="Arial"/>
                <w:b/>
                <w:sz w:val="20"/>
                <w:szCs w:val="20"/>
              </w:rPr>
              <w:t xml:space="preserve"> when all called</w:t>
            </w:r>
          </w:p>
        </w:tc>
        <w:tc>
          <w:tcPr>
            <w:tcW w:w="0" w:type="auto"/>
          </w:tcPr>
          <w:p w14:paraId="6FEF2EFD" w14:textId="7C9E7348" w:rsidR="002F0EE6" w:rsidRPr="0058386F" w:rsidRDefault="002A7556" w:rsidP="002F0EE6">
            <w:pPr>
              <w:jc w:val="center"/>
              <w:rPr>
                <w:rFonts w:ascii="Arial" w:hAnsi="Arial" w:cs="Arial"/>
                <w:b/>
                <w:sz w:val="20"/>
                <w:szCs w:val="20"/>
              </w:rPr>
            </w:pPr>
            <w:r>
              <w:rPr>
                <w:rFonts w:ascii="Arial" w:hAnsi="Arial" w:cs="Arial"/>
                <w:b/>
                <w:sz w:val="20"/>
                <w:szCs w:val="20"/>
              </w:rPr>
              <w:t>30.5</w:t>
            </w:r>
          </w:p>
        </w:tc>
        <w:tc>
          <w:tcPr>
            <w:tcW w:w="0" w:type="auto"/>
          </w:tcPr>
          <w:p w14:paraId="45EA885C" w14:textId="581E7D37" w:rsidR="002F0EE6" w:rsidRPr="0058386F" w:rsidRDefault="00261E0A" w:rsidP="002F0EE6">
            <w:pPr>
              <w:jc w:val="center"/>
              <w:rPr>
                <w:rFonts w:ascii="Arial" w:hAnsi="Arial" w:cs="Arial"/>
                <w:b/>
                <w:sz w:val="20"/>
                <w:szCs w:val="20"/>
              </w:rPr>
            </w:pPr>
            <w:r>
              <w:rPr>
                <w:rFonts w:ascii="Arial" w:hAnsi="Arial" w:cs="Arial"/>
                <w:b/>
                <w:sz w:val="20"/>
                <w:szCs w:val="20"/>
              </w:rPr>
              <w:t>25.0</w:t>
            </w:r>
          </w:p>
        </w:tc>
        <w:tc>
          <w:tcPr>
            <w:tcW w:w="0" w:type="auto"/>
          </w:tcPr>
          <w:p w14:paraId="517E135A" w14:textId="0C445E41" w:rsidR="002F0EE6" w:rsidRPr="0058386F" w:rsidRDefault="002A7556" w:rsidP="00261E0A">
            <w:pPr>
              <w:jc w:val="center"/>
              <w:rPr>
                <w:rFonts w:ascii="Arial" w:hAnsi="Arial" w:cs="Arial"/>
                <w:b/>
                <w:sz w:val="20"/>
                <w:szCs w:val="20"/>
              </w:rPr>
            </w:pPr>
            <w:r>
              <w:rPr>
                <w:rFonts w:ascii="Arial" w:hAnsi="Arial" w:cs="Arial"/>
                <w:b/>
                <w:sz w:val="20"/>
                <w:szCs w:val="20"/>
              </w:rPr>
              <w:t>8</w:t>
            </w:r>
            <w:r w:rsidR="00261E0A">
              <w:rPr>
                <w:rFonts w:ascii="Arial" w:hAnsi="Arial" w:cs="Arial"/>
                <w:b/>
                <w:sz w:val="20"/>
                <w:szCs w:val="20"/>
              </w:rPr>
              <w:t>2</w:t>
            </w:r>
            <w:r>
              <w:rPr>
                <w:rFonts w:ascii="Arial" w:hAnsi="Arial" w:cs="Arial"/>
                <w:b/>
                <w:sz w:val="20"/>
                <w:szCs w:val="20"/>
              </w:rPr>
              <w:t>%</w:t>
            </w:r>
          </w:p>
        </w:tc>
      </w:tr>
      <w:tr w:rsidR="004D664F" w14:paraId="4B086864" w14:textId="77777777" w:rsidTr="001D2BA7">
        <w:trPr>
          <w:jc w:val="center"/>
        </w:trPr>
        <w:tc>
          <w:tcPr>
            <w:tcW w:w="0" w:type="auto"/>
            <w:vMerge w:val="restart"/>
            <w:vAlign w:val="center"/>
          </w:tcPr>
          <w:p w14:paraId="1BCD87AC" w14:textId="77777777" w:rsidR="004D664F" w:rsidRPr="0058386F" w:rsidRDefault="004D664F" w:rsidP="004D664F">
            <w:pPr>
              <w:keepNext/>
              <w:keepLines/>
              <w:jc w:val="center"/>
              <w:rPr>
                <w:rFonts w:ascii="Arial" w:hAnsi="Arial" w:cs="Arial"/>
                <w:b/>
                <w:sz w:val="20"/>
                <w:szCs w:val="20"/>
              </w:rPr>
            </w:pPr>
            <w:r w:rsidRPr="0058386F">
              <w:rPr>
                <w:rFonts w:ascii="Arial" w:hAnsi="Arial" w:cs="Arial"/>
                <w:b/>
                <w:sz w:val="20"/>
                <w:szCs w:val="20"/>
              </w:rPr>
              <w:t>Enrolled in DBP Only</w:t>
            </w:r>
          </w:p>
        </w:tc>
        <w:tc>
          <w:tcPr>
            <w:tcW w:w="0" w:type="auto"/>
          </w:tcPr>
          <w:p w14:paraId="36DAA1E2" w14:textId="4420265C" w:rsidR="004D664F" w:rsidRPr="007E0A27" w:rsidRDefault="004D664F" w:rsidP="004D664F">
            <w:pPr>
              <w:keepNext/>
              <w:keepLines/>
              <w:jc w:val="center"/>
              <w:rPr>
                <w:rFonts w:ascii="Arial" w:hAnsi="Arial" w:cs="Arial"/>
                <w:sz w:val="20"/>
                <w:szCs w:val="20"/>
              </w:rPr>
            </w:pPr>
            <w:r w:rsidRPr="00B719EA">
              <w:rPr>
                <w:rFonts w:ascii="Arial" w:hAnsi="Arial" w:cs="Arial"/>
                <w:sz w:val="20"/>
                <w:szCs w:val="20"/>
              </w:rPr>
              <w:t>1</w:t>
            </w:r>
          </w:p>
        </w:tc>
        <w:tc>
          <w:tcPr>
            <w:tcW w:w="0" w:type="auto"/>
          </w:tcPr>
          <w:p w14:paraId="7C81311E" w14:textId="79873CED" w:rsidR="004D664F" w:rsidRPr="00D71AD7" w:rsidRDefault="004D664F" w:rsidP="004D664F">
            <w:pPr>
              <w:rPr>
                <w:rFonts w:ascii="Arial" w:hAnsi="Arial" w:cs="Arial"/>
                <w:color w:val="000000"/>
                <w:sz w:val="20"/>
                <w:szCs w:val="20"/>
              </w:rPr>
            </w:pPr>
            <w:r w:rsidRPr="00B719EA">
              <w:rPr>
                <w:rFonts w:ascii="Arial" w:hAnsi="Arial" w:cs="Arial"/>
                <w:sz w:val="20"/>
                <w:szCs w:val="20"/>
              </w:rPr>
              <w:t>5/14/2014</w:t>
            </w:r>
          </w:p>
        </w:tc>
        <w:tc>
          <w:tcPr>
            <w:tcW w:w="0" w:type="auto"/>
          </w:tcPr>
          <w:p w14:paraId="034639D3" w14:textId="33188AC2" w:rsidR="004D664F" w:rsidRPr="007E0A27" w:rsidRDefault="004D664F" w:rsidP="004D664F">
            <w:pPr>
              <w:keepNext/>
              <w:keepLines/>
              <w:rPr>
                <w:rFonts w:ascii="Arial" w:hAnsi="Arial" w:cs="Arial"/>
                <w:sz w:val="20"/>
                <w:szCs w:val="20"/>
              </w:rPr>
            </w:pPr>
            <w:r w:rsidRPr="00B719EA">
              <w:rPr>
                <w:rFonts w:ascii="Arial" w:hAnsi="Arial" w:cs="Arial"/>
                <w:sz w:val="20"/>
                <w:szCs w:val="20"/>
              </w:rPr>
              <w:t>Wednesday</w:t>
            </w:r>
          </w:p>
        </w:tc>
        <w:tc>
          <w:tcPr>
            <w:tcW w:w="0" w:type="auto"/>
          </w:tcPr>
          <w:p w14:paraId="3824F2C0" w14:textId="2DA87F05" w:rsidR="004D664F" w:rsidRPr="004D664F" w:rsidRDefault="004D664F" w:rsidP="004D664F">
            <w:pPr>
              <w:jc w:val="center"/>
              <w:rPr>
                <w:rFonts w:ascii="Arial" w:hAnsi="Arial" w:cs="Arial"/>
                <w:sz w:val="20"/>
                <w:szCs w:val="20"/>
              </w:rPr>
            </w:pPr>
            <w:r w:rsidRPr="004D664F">
              <w:rPr>
                <w:rFonts w:ascii="Arial" w:hAnsi="Arial" w:cs="Arial"/>
                <w:sz w:val="20"/>
                <w:szCs w:val="20"/>
              </w:rPr>
              <w:t>0.3</w:t>
            </w:r>
          </w:p>
        </w:tc>
        <w:tc>
          <w:tcPr>
            <w:tcW w:w="0" w:type="auto"/>
          </w:tcPr>
          <w:p w14:paraId="7C8171D6" w14:textId="413F3CA7" w:rsidR="004D664F" w:rsidRPr="004D664F" w:rsidRDefault="004D664F" w:rsidP="004D664F">
            <w:pPr>
              <w:jc w:val="center"/>
              <w:rPr>
                <w:rFonts w:ascii="Arial" w:hAnsi="Arial" w:cs="Arial"/>
                <w:sz w:val="20"/>
                <w:szCs w:val="20"/>
              </w:rPr>
            </w:pPr>
            <w:r w:rsidRPr="004D664F">
              <w:rPr>
                <w:rFonts w:ascii="Arial" w:hAnsi="Arial" w:cs="Arial"/>
                <w:sz w:val="20"/>
                <w:szCs w:val="20"/>
              </w:rPr>
              <w:t>0.4</w:t>
            </w:r>
          </w:p>
        </w:tc>
        <w:tc>
          <w:tcPr>
            <w:tcW w:w="0" w:type="auto"/>
          </w:tcPr>
          <w:p w14:paraId="0CF91788" w14:textId="3042625B" w:rsidR="004D664F" w:rsidRPr="004D664F" w:rsidRDefault="004D664F" w:rsidP="00261E0A">
            <w:pPr>
              <w:jc w:val="center"/>
              <w:rPr>
                <w:rFonts w:ascii="Arial" w:hAnsi="Arial" w:cs="Arial"/>
                <w:sz w:val="20"/>
                <w:szCs w:val="20"/>
              </w:rPr>
            </w:pPr>
            <w:r w:rsidRPr="004D664F">
              <w:rPr>
                <w:rFonts w:ascii="Arial" w:hAnsi="Arial" w:cs="Arial"/>
                <w:sz w:val="20"/>
                <w:szCs w:val="20"/>
              </w:rPr>
              <w:t>15</w:t>
            </w:r>
            <w:r w:rsidR="00261E0A">
              <w:rPr>
                <w:rFonts w:ascii="Arial" w:hAnsi="Arial" w:cs="Arial"/>
                <w:sz w:val="20"/>
                <w:szCs w:val="20"/>
              </w:rPr>
              <w:t>7</w:t>
            </w:r>
            <w:r w:rsidRPr="004D664F">
              <w:rPr>
                <w:rFonts w:ascii="Arial" w:hAnsi="Arial" w:cs="Arial"/>
                <w:sz w:val="20"/>
                <w:szCs w:val="20"/>
              </w:rPr>
              <w:t>%</w:t>
            </w:r>
          </w:p>
        </w:tc>
      </w:tr>
      <w:tr w:rsidR="004D664F" w14:paraId="7C080DC5" w14:textId="77777777" w:rsidTr="001D2BA7">
        <w:trPr>
          <w:jc w:val="center"/>
        </w:trPr>
        <w:tc>
          <w:tcPr>
            <w:tcW w:w="0" w:type="auto"/>
            <w:vMerge/>
          </w:tcPr>
          <w:p w14:paraId="1C998FB5" w14:textId="77777777" w:rsidR="004D664F" w:rsidRDefault="004D664F" w:rsidP="004D664F">
            <w:pPr>
              <w:keepNext/>
              <w:keepLines/>
              <w:jc w:val="center"/>
              <w:rPr>
                <w:rFonts w:ascii="Arial" w:hAnsi="Arial" w:cs="Arial"/>
                <w:sz w:val="20"/>
                <w:szCs w:val="20"/>
              </w:rPr>
            </w:pPr>
          </w:p>
        </w:tc>
        <w:tc>
          <w:tcPr>
            <w:tcW w:w="0" w:type="auto"/>
          </w:tcPr>
          <w:p w14:paraId="4A2AE241" w14:textId="643A2E54" w:rsidR="004D664F" w:rsidRPr="007E0A27" w:rsidRDefault="004D664F" w:rsidP="004D664F">
            <w:pPr>
              <w:keepNext/>
              <w:keepLines/>
              <w:jc w:val="center"/>
              <w:rPr>
                <w:rFonts w:ascii="Arial" w:hAnsi="Arial" w:cs="Arial"/>
                <w:sz w:val="20"/>
                <w:szCs w:val="20"/>
              </w:rPr>
            </w:pPr>
            <w:r w:rsidRPr="00B719EA">
              <w:rPr>
                <w:rFonts w:ascii="Arial" w:hAnsi="Arial" w:cs="Arial"/>
                <w:sz w:val="20"/>
                <w:szCs w:val="20"/>
              </w:rPr>
              <w:t>2</w:t>
            </w:r>
          </w:p>
        </w:tc>
        <w:tc>
          <w:tcPr>
            <w:tcW w:w="0" w:type="auto"/>
          </w:tcPr>
          <w:p w14:paraId="6A36A6BC" w14:textId="357BF61D" w:rsidR="004D664F" w:rsidRPr="00D71AD7" w:rsidRDefault="004D664F" w:rsidP="004D664F">
            <w:pPr>
              <w:rPr>
                <w:rFonts w:ascii="Arial" w:hAnsi="Arial" w:cs="Arial"/>
                <w:color w:val="000000"/>
                <w:sz w:val="20"/>
                <w:szCs w:val="20"/>
              </w:rPr>
            </w:pPr>
            <w:r w:rsidRPr="00B719EA">
              <w:rPr>
                <w:rFonts w:ascii="Arial" w:hAnsi="Arial" w:cs="Arial"/>
                <w:sz w:val="20"/>
                <w:szCs w:val="20"/>
              </w:rPr>
              <w:t>6/30/2014</w:t>
            </w:r>
          </w:p>
        </w:tc>
        <w:tc>
          <w:tcPr>
            <w:tcW w:w="0" w:type="auto"/>
          </w:tcPr>
          <w:p w14:paraId="4DA7734E" w14:textId="0A4E2956" w:rsidR="004D664F" w:rsidRPr="007E0A27" w:rsidRDefault="004D664F" w:rsidP="004D664F">
            <w:pPr>
              <w:keepNext/>
              <w:keepLines/>
              <w:rPr>
                <w:rFonts w:ascii="Arial" w:hAnsi="Arial" w:cs="Arial"/>
                <w:sz w:val="20"/>
                <w:szCs w:val="20"/>
              </w:rPr>
            </w:pPr>
            <w:r w:rsidRPr="00B719EA">
              <w:rPr>
                <w:rFonts w:ascii="Arial" w:hAnsi="Arial" w:cs="Arial"/>
                <w:sz w:val="20"/>
                <w:szCs w:val="20"/>
              </w:rPr>
              <w:t>Monday</w:t>
            </w:r>
          </w:p>
        </w:tc>
        <w:tc>
          <w:tcPr>
            <w:tcW w:w="0" w:type="auto"/>
          </w:tcPr>
          <w:p w14:paraId="2BFF5E97" w14:textId="341DBE74" w:rsidR="004D664F" w:rsidRPr="004D664F" w:rsidRDefault="004D664F" w:rsidP="004D664F">
            <w:pPr>
              <w:jc w:val="center"/>
              <w:rPr>
                <w:rFonts w:ascii="Arial" w:hAnsi="Arial" w:cs="Arial"/>
                <w:sz w:val="20"/>
                <w:szCs w:val="20"/>
              </w:rPr>
            </w:pPr>
            <w:r w:rsidRPr="004D664F">
              <w:rPr>
                <w:rFonts w:ascii="Arial" w:hAnsi="Arial" w:cs="Arial"/>
                <w:sz w:val="20"/>
                <w:szCs w:val="20"/>
              </w:rPr>
              <w:t>2.0</w:t>
            </w:r>
          </w:p>
        </w:tc>
        <w:tc>
          <w:tcPr>
            <w:tcW w:w="0" w:type="auto"/>
          </w:tcPr>
          <w:p w14:paraId="7EDC85DE" w14:textId="3206AF5B" w:rsidR="004D664F" w:rsidRPr="004D664F" w:rsidRDefault="004D664F" w:rsidP="004D664F">
            <w:pPr>
              <w:jc w:val="center"/>
              <w:rPr>
                <w:rFonts w:ascii="Arial" w:hAnsi="Arial" w:cs="Arial"/>
                <w:sz w:val="20"/>
                <w:szCs w:val="20"/>
              </w:rPr>
            </w:pPr>
            <w:r w:rsidRPr="004D664F">
              <w:rPr>
                <w:rFonts w:ascii="Arial" w:hAnsi="Arial" w:cs="Arial"/>
                <w:sz w:val="20"/>
                <w:szCs w:val="20"/>
              </w:rPr>
              <w:t>0.4</w:t>
            </w:r>
          </w:p>
        </w:tc>
        <w:tc>
          <w:tcPr>
            <w:tcW w:w="0" w:type="auto"/>
          </w:tcPr>
          <w:p w14:paraId="6D088CA2" w14:textId="66F4441F" w:rsidR="004D664F" w:rsidRPr="004D664F" w:rsidRDefault="004D664F" w:rsidP="00261E0A">
            <w:pPr>
              <w:jc w:val="center"/>
              <w:rPr>
                <w:rFonts w:ascii="Arial" w:hAnsi="Arial" w:cs="Arial"/>
                <w:sz w:val="20"/>
                <w:szCs w:val="20"/>
              </w:rPr>
            </w:pPr>
            <w:r w:rsidRPr="004D664F">
              <w:rPr>
                <w:rFonts w:ascii="Arial" w:hAnsi="Arial" w:cs="Arial"/>
                <w:sz w:val="20"/>
                <w:szCs w:val="20"/>
              </w:rPr>
              <w:t>2</w:t>
            </w:r>
            <w:r w:rsidR="00261E0A">
              <w:rPr>
                <w:rFonts w:ascii="Arial" w:hAnsi="Arial" w:cs="Arial"/>
                <w:sz w:val="20"/>
                <w:szCs w:val="20"/>
              </w:rPr>
              <w:t>1</w:t>
            </w:r>
            <w:r w:rsidRPr="004D664F">
              <w:rPr>
                <w:rFonts w:ascii="Arial" w:hAnsi="Arial" w:cs="Arial"/>
                <w:sz w:val="20"/>
                <w:szCs w:val="20"/>
              </w:rPr>
              <w:t>%</w:t>
            </w:r>
          </w:p>
        </w:tc>
      </w:tr>
      <w:tr w:rsidR="004D664F" w14:paraId="5F42D8D1" w14:textId="77777777" w:rsidTr="001D2BA7">
        <w:trPr>
          <w:jc w:val="center"/>
        </w:trPr>
        <w:tc>
          <w:tcPr>
            <w:tcW w:w="0" w:type="auto"/>
            <w:vMerge/>
          </w:tcPr>
          <w:p w14:paraId="5C05468F" w14:textId="77777777" w:rsidR="004D664F" w:rsidRDefault="004D664F" w:rsidP="004D664F">
            <w:pPr>
              <w:keepNext/>
              <w:keepLines/>
              <w:jc w:val="center"/>
              <w:rPr>
                <w:rFonts w:ascii="Arial" w:hAnsi="Arial" w:cs="Arial"/>
                <w:sz w:val="20"/>
                <w:szCs w:val="20"/>
              </w:rPr>
            </w:pPr>
          </w:p>
        </w:tc>
        <w:tc>
          <w:tcPr>
            <w:tcW w:w="0" w:type="auto"/>
          </w:tcPr>
          <w:p w14:paraId="5170CFDD" w14:textId="222755D8" w:rsidR="004D664F" w:rsidRPr="007E0A27" w:rsidRDefault="004D664F" w:rsidP="004D664F">
            <w:pPr>
              <w:keepNext/>
              <w:keepLines/>
              <w:jc w:val="center"/>
              <w:rPr>
                <w:rFonts w:ascii="Arial" w:hAnsi="Arial" w:cs="Arial"/>
                <w:sz w:val="20"/>
                <w:szCs w:val="20"/>
              </w:rPr>
            </w:pPr>
            <w:r w:rsidRPr="00B719EA">
              <w:rPr>
                <w:rFonts w:ascii="Arial" w:hAnsi="Arial" w:cs="Arial"/>
                <w:sz w:val="20"/>
                <w:szCs w:val="20"/>
              </w:rPr>
              <w:t>3</w:t>
            </w:r>
          </w:p>
        </w:tc>
        <w:tc>
          <w:tcPr>
            <w:tcW w:w="0" w:type="auto"/>
          </w:tcPr>
          <w:p w14:paraId="6FE32B0C" w14:textId="7605C28B" w:rsidR="004D664F" w:rsidRPr="00D71AD7" w:rsidRDefault="004D664F" w:rsidP="004D664F">
            <w:pPr>
              <w:rPr>
                <w:rFonts w:ascii="Arial" w:hAnsi="Arial" w:cs="Arial"/>
                <w:color w:val="000000"/>
                <w:sz w:val="20"/>
                <w:szCs w:val="20"/>
              </w:rPr>
            </w:pPr>
            <w:r w:rsidRPr="00B719EA">
              <w:rPr>
                <w:rFonts w:ascii="Arial" w:hAnsi="Arial" w:cs="Arial"/>
                <w:sz w:val="20"/>
                <w:szCs w:val="20"/>
              </w:rPr>
              <w:t>7/7/2014</w:t>
            </w:r>
          </w:p>
        </w:tc>
        <w:tc>
          <w:tcPr>
            <w:tcW w:w="0" w:type="auto"/>
          </w:tcPr>
          <w:p w14:paraId="78F75C6C" w14:textId="208CEA1C" w:rsidR="004D664F" w:rsidRPr="007E0A27" w:rsidRDefault="004D664F" w:rsidP="004D664F">
            <w:pPr>
              <w:keepNext/>
              <w:keepLines/>
              <w:rPr>
                <w:rFonts w:ascii="Arial" w:hAnsi="Arial" w:cs="Arial"/>
                <w:sz w:val="20"/>
                <w:szCs w:val="20"/>
              </w:rPr>
            </w:pPr>
            <w:r w:rsidRPr="00B719EA">
              <w:rPr>
                <w:rFonts w:ascii="Arial" w:hAnsi="Arial" w:cs="Arial"/>
                <w:sz w:val="20"/>
                <w:szCs w:val="20"/>
              </w:rPr>
              <w:t>Monday</w:t>
            </w:r>
          </w:p>
        </w:tc>
        <w:tc>
          <w:tcPr>
            <w:tcW w:w="0" w:type="auto"/>
          </w:tcPr>
          <w:p w14:paraId="44A19F2F" w14:textId="74204799" w:rsidR="004D664F" w:rsidRPr="004D664F" w:rsidRDefault="004D664F" w:rsidP="004D664F">
            <w:pPr>
              <w:jc w:val="center"/>
              <w:rPr>
                <w:rFonts w:ascii="Arial" w:hAnsi="Arial" w:cs="Arial"/>
                <w:sz w:val="20"/>
                <w:szCs w:val="20"/>
              </w:rPr>
            </w:pPr>
            <w:r w:rsidRPr="004D664F">
              <w:rPr>
                <w:rFonts w:ascii="Arial" w:hAnsi="Arial" w:cs="Arial"/>
                <w:sz w:val="20"/>
                <w:szCs w:val="20"/>
              </w:rPr>
              <w:t>2.4</w:t>
            </w:r>
          </w:p>
        </w:tc>
        <w:tc>
          <w:tcPr>
            <w:tcW w:w="0" w:type="auto"/>
          </w:tcPr>
          <w:p w14:paraId="0764A2F9" w14:textId="458203FC" w:rsidR="004D664F" w:rsidRPr="004D664F" w:rsidRDefault="004D664F" w:rsidP="004D664F">
            <w:pPr>
              <w:jc w:val="center"/>
              <w:rPr>
                <w:rFonts w:ascii="Arial" w:hAnsi="Arial" w:cs="Arial"/>
                <w:sz w:val="20"/>
                <w:szCs w:val="20"/>
              </w:rPr>
            </w:pPr>
            <w:r w:rsidRPr="004D664F">
              <w:rPr>
                <w:rFonts w:ascii="Arial" w:hAnsi="Arial" w:cs="Arial"/>
                <w:sz w:val="20"/>
                <w:szCs w:val="20"/>
              </w:rPr>
              <w:t>0.8</w:t>
            </w:r>
          </w:p>
        </w:tc>
        <w:tc>
          <w:tcPr>
            <w:tcW w:w="0" w:type="auto"/>
          </w:tcPr>
          <w:p w14:paraId="3ACCD637" w14:textId="73A4A2B2" w:rsidR="004D664F" w:rsidRPr="004D664F" w:rsidRDefault="00261E0A" w:rsidP="004D664F">
            <w:pPr>
              <w:jc w:val="center"/>
              <w:rPr>
                <w:rFonts w:ascii="Arial" w:hAnsi="Arial" w:cs="Arial"/>
                <w:sz w:val="20"/>
                <w:szCs w:val="20"/>
              </w:rPr>
            </w:pPr>
            <w:r>
              <w:rPr>
                <w:rFonts w:ascii="Arial" w:hAnsi="Arial" w:cs="Arial"/>
                <w:sz w:val="20"/>
                <w:szCs w:val="20"/>
              </w:rPr>
              <w:t>35</w:t>
            </w:r>
            <w:r w:rsidR="004D664F" w:rsidRPr="004D664F">
              <w:rPr>
                <w:rFonts w:ascii="Arial" w:hAnsi="Arial" w:cs="Arial"/>
                <w:sz w:val="20"/>
                <w:szCs w:val="20"/>
              </w:rPr>
              <w:t>%</w:t>
            </w:r>
          </w:p>
        </w:tc>
      </w:tr>
      <w:tr w:rsidR="004D664F" w14:paraId="02A8071A" w14:textId="77777777" w:rsidTr="001D2BA7">
        <w:trPr>
          <w:jc w:val="center"/>
        </w:trPr>
        <w:tc>
          <w:tcPr>
            <w:tcW w:w="0" w:type="auto"/>
            <w:vMerge/>
          </w:tcPr>
          <w:p w14:paraId="4D6E75AE" w14:textId="77777777" w:rsidR="004D664F" w:rsidRDefault="004D664F" w:rsidP="004D664F">
            <w:pPr>
              <w:keepNext/>
              <w:keepLines/>
              <w:jc w:val="center"/>
              <w:rPr>
                <w:rFonts w:ascii="Arial" w:hAnsi="Arial" w:cs="Arial"/>
                <w:sz w:val="20"/>
                <w:szCs w:val="20"/>
              </w:rPr>
            </w:pPr>
          </w:p>
        </w:tc>
        <w:tc>
          <w:tcPr>
            <w:tcW w:w="0" w:type="auto"/>
          </w:tcPr>
          <w:p w14:paraId="21A56ECE" w14:textId="58FDFA4E" w:rsidR="004D664F" w:rsidRDefault="004D664F" w:rsidP="004D664F">
            <w:pPr>
              <w:keepNext/>
              <w:keepLines/>
              <w:jc w:val="center"/>
              <w:rPr>
                <w:rFonts w:ascii="Arial" w:hAnsi="Arial" w:cs="Arial"/>
                <w:sz w:val="20"/>
                <w:szCs w:val="20"/>
              </w:rPr>
            </w:pPr>
            <w:r w:rsidRPr="00B719EA">
              <w:rPr>
                <w:rFonts w:ascii="Arial" w:hAnsi="Arial" w:cs="Arial"/>
                <w:sz w:val="20"/>
                <w:szCs w:val="20"/>
              </w:rPr>
              <w:t>4</w:t>
            </w:r>
          </w:p>
        </w:tc>
        <w:tc>
          <w:tcPr>
            <w:tcW w:w="0" w:type="auto"/>
          </w:tcPr>
          <w:p w14:paraId="6298877C" w14:textId="22785CC7" w:rsidR="004D664F" w:rsidRPr="00D71AD7" w:rsidRDefault="004D664F" w:rsidP="004D664F">
            <w:pPr>
              <w:rPr>
                <w:rFonts w:ascii="Arial" w:hAnsi="Arial" w:cs="Arial"/>
                <w:color w:val="000000"/>
                <w:sz w:val="20"/>
                <w:szCs w:val="20"/>
              </w:rPr>
            </w:pPr>
            <w:r w:rsidRPr="00B719EA">
              <w:rPr>
                <w:rFonts w:ascii="Arial" w:hAnsi="Arial" w:cs="Arial"/>
                <w:sz w:val="20"/>
                <w:szCs w:val="20"/>
              </w:rPr>
              <w:t>7/14/2014</w:t>
            </w:r>
          </w:p>
        </w:tc>
        <w:tc>
          <w:tcPr>
            <w:tcW w:w="0" w:type="auto"/>
          </w:tcPr>
          <w:p w14:paraId="10929829" w14:textId="7E8BFAFB" w:rsidR="004D664F" w:rsidRDefault="004D664F" w:rsidP="004D664F">
            <w:pPr>
              <w:keepNext/>
              <w:keepLines/>
              <w:rPr>
                <w:rFonts w:ascii="Arial" w:hAnsi="Arial" w:cs="Arial"/>
                <w:sz w:val="20"/>
                <w:szCs w:val="20"/>
              </w:rPr>
            </w:pPr>
            <w:r w:rsidRPr="00B719EA">
              <w:rPr>
                <w:rFonts w:ascii="Arial" w:hAnsi="Arial" w:cs="Arial"/>
                <w:sz w:val="20"/>
                <w:szCs w:val="20"/>
              </w:rPr>
              <w:t>Monday</w:t>
            </w:r>
          </w:p>
        </w:tc>
        <w:tc>
          <w:tcPr>
            <w:tcW w:w="0" w:type="auto"/>
          </w:tcPr>
          <w:p w14:paraId="62E416E3" w14:textId="77BF79F6" w:rsidR="004D664F" w:rsidRPr="004D664F" w:rsidRDefault="004D664F" w:rsidP="004D664F">
            <w:pPr>
              <w:jc w:val="center"/>
              <w:rPr>
                <w:rFonts w:ascii="Arial" w:hAnsi="Arial" w:cs="Arial"/>
                <w:sz w:val="20"/>
                <w:szCs w:val="20"/>
              </w:rPr>
            </w:pPr>
          </w:p>
        </w:tc>
        <w:tc>
          <w:tcPr>
            <w:tcW w:w="0" w:type="auto"/>
          </w:tcPr>
          <w:p w14:paraId="634EF2EE" w14:textId="6EC43202" w:rsidR="004D664F" w:rsidRPr="004D664F" w:rsidRDefault="004D664F" w:rsidP="004D664F">
            <w:pPr>
              <w:jc w:val="center"/>
              <w:rPr>
                <w:rFonts w:ascii="Arial" w:hAnsi="Arial" w:cs="Arial"/>
                <w:sz w:val="20"/>
                <w:szCs w:val="20"/>
              </w:rPr>
            </w:pPr>
          </w:p>
        </w:tc>
        <w:tc>
          <w:tcPr>
            <w:tcW w:w="0" w:type="auto"/>
          </w:tcPr>
          <w:p w14:paraId="66CA86F3" w14:textId="313F91AC" w:rsidR="004D664F" w:rsidRPr="004D664F" w:rsidRDefault="004D664F" w:rsidP="004D664F">
            <w:pPr>
              <w:jc w:val="center"/>
              <w:rPr>
                <w:rFonts w:ascii="Arial" w:hAnsi="Arial" w:cs="Arial"/>
                <w:sz w:val="20"/>
                <w:szCs w:val="20"/>
              </w:rPr>
            </w:pPr>
          </w:p>
        </w:tc>
      </w:tr>
      <w:tr w:rsidR="004D664F" w14:paraId="7C0F4CD6" w14:textId="77777777" w:rsidTr="001D2BA7">
        <w:trPr>
          <w:jc w:val="center"/>
        </w:trPr>
        <w:tc>
          <w:tcPr>
            <w:tcW w:w="0" w:type="auto"/>
            <w:vMerge/>
          </w:tcPr>
          <w:p w14:paraId="2EDA6066" w14:textId="77777777" w:rsidR="004D664F" w:rsidRDefault="004D664F" w:rsidP="004D664F">
            <w:pPr>
              <w:keepNext/>
              <w:keepLines/>
              <w:jc w:val="center"/>
              <w:rPr>
                <w:rFonts w:ascii="Arial" w:hAnsi="Arial" w:cs="Arial"/>
                <w:sz w:val="20"/>
                <w:szCs w:val="20"/>
              </w:rPr>
            </w:pPr>
          </w:p>
        </w:tc>
        <w:tc>
          <w:tcPr>
            <w:tcW w:w="0" w:type="auto"/>
          </w:tcPr>
          <w:p w14:paraId="0AB0F94E" w14:textId="5B287454" w:rsidR="004D664F" w:rsidRDefault="004D664F" w:rsidP="004D664F">
            <w:pPr>
              <w:keepNext/>
              <w:keepLines/>
              <w:jc w:val="center"/>
              <w:rPr>
                <w:rFonts w:ascii="Arial" w:hAnsi="Arial" w:cs="Arial"/>
                <w:sz w:val="20"/>
                <w:szCs w:val="20"/>
              </w:rPr>
            </w:pPr>
            <w:r w:rsidRPr="00B719EA">
              <w:rPr>
                <w:rFonts w:ascii="Arial" w:hAnsi="Arial" w:cs="Arial"/>
                <w:sz w:val="20"/>
                <w:szCs w:val="20"/>
              </w:rPr>
              <w:t>5</w:t>
            </w:r>
          </w:p>
        </w:tc>
        <w:tc>
          <w:tcPr>
            <w:tcW w:w="0" w:type="auto"/>
          </w:tcPr>
          <w:p w14:paraId="4258ED6B" w14:textId="3A03B22D" w:rsidR="004D664F" w:rsidRPr="00D71AD7" w:rsidRDefault="004D664F" w:rsidP="004D664F">
            <w:pPr>
              <w:rPr>
                <w:rFonts w:ascii="Arial" w:hAnsi="Arial" w:cs="Arial"/>
                <w:color w:val="000000"/>
                <w:sz w:val="20"/>
                <w:szCs w:val="20"/>
              </w:rPr>
            </w:pPr>
            <w:r w:rsidRPr="00B719EA">
              <w:rPr>
                <w:rFonts w:ascii="Arial" w:hAnsi="Arial" w:cs="Arial"/>
                <w:sz w:val="20"/>
                <w:szCs w:val="20"/>
              </w:rPr>
              <w:t>7/28/2014</w:t>
            </w:r>
          </w:p>
        </w:tc>
        <w:tc>
          <w:tcPr>
            <w:tcW w:w="0" w:type="auto"/>
          </w:tcPr>
          <w:p w14:paraId="6898F1AB" w14:textId="3AD74542" w:rsidR="004D664F" w:rsidRDefault="004D664F" w:rsidP="004D664F">
            <w:pPr>
              <w:keepNext/>
              <w:keepLines/>
              <w:rPr>
                <w:rFonts w:ascii="Arial" w:hAnsi="Arial" w:cs="Arial"/>
                <w:sz w:val="20"/>
                <w:szCs w:val="20"/>
              </w:rPr>
            </w:pPr>
            <w:r w:rsidRPr="00B719EA">
              <w:rPr>
                <w:rFonts w:ascii="Arial" w:hAnsi="Arial" w:cs="Arial"/>
                <w:sz w:val="20"/>
                <w:szCs w:val="20"/>
              </w:rPr>
              <w:t>Monday</w:t>
            </w:r>
          </w:p>
        </w:tc>
        <w:tc>
          <w:tcPr>
            <w:tcW w:w="0" w:type="auto"/>
          </w:tcPr>
          <w:p w14:paraId="4E7C181E" w14:textId="43C4AFD3" w:rsidR="004D664F" w:rsidRPr="004D664F" w:rsidRDefault="004D664F" w:rsidP="004D664F">
            <w:pPr>
              <w:jc w:val="center"/>
              <w:rPr>
                <w:rFonts w:ascii="Arial" w:hAnsi="Arial" w:cs="Arial"/>
                <w:sz w:val="20"/>
                <w:szCs w:val="20"/>
              </w:rPr>
            </w:pPr>
            <w:r w:rsidRPr="004D664F">
              <w:rPr>
                <w:rFonts w:ascii="Arial" w:hAnsi="Arial" w:cs="Arial"/>
                <w:sz w:val="20"/>
                <w:szCs w:val="20"/>
              </w:rPr>
              <w:t>2.2</w:t>
            </w:r>
          </w:p>
        </w:tc>
        <w:tc>
          <w:tcPr>
            <w:tcW w:w="0" w:type="auto"/>
          </w:tcPr>
          <w:p w14:paraId="09B61F6D" w14:textId="4B8E11D8" w:rsidR="004D664F" w:rsidRPr="004D664F" w:rsidRDefault="004D664F" w:rsidP="004D664F">
            <w:pPr>
              <w:jc w:val="center"/>
              <w:rPr>
                <w:rFonts w:ascii="Arial" w:hAnsi="Arial" w:cs="Arial"/>
                <w:sz w:val="20"/>
                <w:szCs w:val="20"/>
              </w:rPr>
            </w:pPr>
            <w:r w:rsidRPr="004D664F">
              <w:rPr>
                <w:rFonts w:ascii="Arial" w:hAnsi="Arial" w:cs="Arial"/>
                <w:sz w:val="20"/>
                <w:szCs w:val="20"/>
              </w:rPr>
              <w:t>1.1</w:t>
            </w:r>
          </w:p>
        </w:tc>
        <w:tc>
          <w:tcPr>
            <w:tcW w:w="0" w:type="auto"/>
          </w:tcPr>
          <w:p w14:paraId="2AE05AFC" w14:textId="0B48B707" w:rsidR="004D664F" w:rsidRPr="004D664F" w:rsidRDefault="00261E0A" w:rsidP="004D664F">
            <w:pPr>
              <w:jc w:val="center"/>
              <w:rPr>
                <w:rFonts w:ascii="Arial" w:hAnsi="Arial" w:cs="Arial"/>
                <w:sz w:val="20"/>
                <w:szCs w:val="20"/>
              </w:rPr>
            </w:pPr>
            <w:r>
              <w:rPr>
                <w:rFonts w:ascii="Arial" w:hAnsi="Arial" w:cs="Arial"/>
                <w:sz w:val="20"/>
                <w:szCs w:val="20"/>
              </w:rPr>
              <w:t>48</w:t>
            </w:r>
            <w:r w:rsidR="004D664F" w:rsidRPr="004D664F">
              <w:rPr>
                <w:rFonts w:ascii="Arial" w:hAnsi="Arial" w:cs="Arial"/>
                <w:sz w:val="20"/>
                <w:szCs w:val="20"/>
              </w:rPr>
              <w:t>%</w:t>
            </w:r>
          </w:p>
        </w:tc>
      </w:tr>
      <w:tr w:rsidR="004D664F" w14:paraId="4797EBF9" w14:textId="77777777" w:rsidTr="001D2BA7">
        <w:trPr>
          <w:jc w:val="center"/>
        </w:trPr>
        <w:tc>
          <w:tcPr>
            <w:tcW w:w="0" w:type="auto"/>
            <w:vMerge/>
          </w:tcPr>
          <w:p w14:paraId="0121F778" w14:textId="77777777" w:rsidR="004D664F" w:rsidRDefault="004D664F" w:rsidP="004D664F">
            <w:pPr>
              <w:keepNext/>
              <w:keepLines/>
              <w:jc w:val="center"/>
              <w:rPr>
                <w:rFonts w:ascii="Arial" w:hAnsi="Arial" w:cs="Arial"/>
                <w:sz w:val="20"/>
                <w:szCs w:val="20"/>
              </w:rPr>
            </w:pPr>
          </w:p>
        </w:tc>
        <w:tc>
          <w:tcPr>
            <w:tcW w:w="0" w:type="auto"/>
          </w:tcPr>
          <w:p w14:paraId="0F1F7802" w14:textId="6F88D7CE" w:rsidR="004D664F" w:rsidRDefault="004D664F" w:rsidP="004D664F">
            <w:pPr>
              <w:keepNext/>
              <w:keepLines/>
              <w:jc w:val="center"/>
              <w:rPr>
                <w:rFonts w:ascii="Arial" w:hAnsi="Arial" w:cs="Arial"/>
                <w:sz w:val="20"/>
                <w:szCs w:val="20"/>
              </w:rPr>
            </w:pPr>
            <w:r w:rsidRPr="00B719EA">
              <w:rPr>
                <w:rFonts w:ascii="Arial" w:hAnsi="Arial" w:cs="Arial"/>
                <w:sz w:val="20"/>
                <w:szCs w:val="20"/>
              </w:rPr>
              <w:t>6</w:t>
            </w:r>
          </w:p>
        </w:tc>
        <w:tc>
          <w:tcPr>
            <w:tcW w:w="0" w:type="auto"/>
          </w:tcPr>
          <w:p w14:paraId="454BAE28" w14:textId="6FCBEA13" w:rsidR="004D664F" w:rsidRPr="00D71AD7" w:rsidRDefault="004D664F" w:rsidP="004D664F">
            <w:pPr>
              <w:rPr>
                <w:rFonts w:ascii="Arial" w:hAnsi="Arial" w:cs="Arial"/>
                <w:color w:val="000000"/>
                <w:sz w:val="20"/>
                <w:szCs w:val="20"/>
              </w:rPr>
            </w:pPr>
            <w:r w:rsidRPr="00B719EA">
              <w:rPr>
                <w:rFonts w:ascii="Arial" w:hAnsi="Arial" w:cs="Arial"/>
                <w:sz w:val="20"/>
                <w:szCs w:val="20"/>
              </w:rPr>
              <w:t>7/29/2014</w:t>
            </w:r>
          </w:p>
        </w:tc>
        <w:tc>
          <w:tcPr>
            <w:tcW w:w="0" w:type="auto"/>
          </w:tcPr>
          <w:p w14:paraId="03651A2D" w14:textId="7CDFDEFF" w:rsidR="004D664F" w:rsidRDefault="004D664F" w:rsidP="004D664F">
            <w:pPr>
              <w:keepNext/>
              <w:keepLines/>
              <w:rPr>
                <w:rFonts w:ascii="Arial" w:hAnsi="Arial" w:cs="Arial"/>
                <w:sz w:val="20"/>
                <w:szCs w:val="20"/>
              </w:rPr>
            </w:pPr>
            <w:r w:rsidRPr="00B719EA">
              <w:rPr>
                <w:rFonts w:ascii="Arial" w:hAnsi="Arial" w:cs="Arial"/>
                <w:sz w:val="20"/>
                <w:szCs w:val="20"/>
              </w:rPr>
              <w:t>Tuesday</w:t>
            </w:r>
          </w:p>
        </w:tc>
        <w:tc>
          <w:tcPr>
            <w:tcW w:w="0" w:type="auto"/>
          </w:tcPr>
          <w:p w14:paraId="58A9DFDA" w14:textId="6B99FC94" w:rsidR="004D664F" w:rsidRPr="004D664F" w:rsidRDefault="004D664F" w:rsidP="004D664F">
            <w:pPr>
              <w:jc w:val="center"/>
              <w:rPr>
                <w:rFonts w:ascii="Arial" w:hAnsi="Arial" w:cs="Arial"/>
                <w:sz w:val="20"/>
                <w:szCs w:val="20"/>
              </w:rPr>
            </w:pPr>
            <w:r w:rsidRPr="004D664F">
              <w:rPr>
                <w:rFonts w:ascii="Arial" w:hAnsi="Arial" w:cs="Arial"/>
                <w:sz w:val="20"/>
                <w:szCs w:val="20"/>
              </w:rPr>
              <w:t>2.1</w:t>
            </w:r>
          </w:p>
        </w:tc>
        <w:tc>
          <w:tcPr>
            <w:tcW w:w="0" w:type="auto"/>
          </w:tcPr>
          <w:p w14:paraId="07FD8E2F" w14:textId="244F6ADB" w:rsidR="004D664F" w:rsidRPr="004D664F" w:rsidRDefault="004D664F" w:rsidP="004D664F">
            <w:pPr>
              <w:jc w:val="center"/>
              <w:rPr>
                <w:rFonts w:ascii="Arial" w:hAnsi="Arial" w:cs="Arial"/>
                <w:sz w:val="20"/>
                <w:szCs w:val="20"/>
              </w:rPr>
            </w:pPr>
            <w:r w:rsidRPr="004D664F">
              <w:rPr>
                <w:rFonts w:ascii="Arial" w:hAnsi="Arial" w:cs="Arial"/>
                <w:sz w:val="20"/>
                <w:szCs w:val="20"/>
              </w:rPr>
              <w:t>2.3</w:t>
            </w:r>
          </w:p>
        </w:tc>
        <w:tc>
          <w:tcPr>
            <w:tcW w:w="0" w:type="auto"/>
          </w:tcPr>
          <w:p w14:paraId="25444857" w14:textId="0BD096BC" w:rsidR="004D664F" w:rsidRPr="004D664F" w:rsidRDefault="004D664F" w:rsidP="00261E0A">
            <w:pPr>
              <w:jc w:val="center"/>
              <w:rPr>
                <w:rFonts w:ascii="Arial" w:hAnsi="Arial" w:cs="Arial"/>
                <w:sz w:val="20"/>
                <w:szCs w:val="20"/>
              </w:rPr>
            </w:pPr>
            <w:r w:rsidRPr="004D664F">
              <w:rPr>
                <w:rFonts w:ascii="Arial" w:hAnsi="Arial" w:cs="Arial"/>
                <w:sz w:val="20"/>
                <w:szCs w:val="20"/>
              </w:rPr>
              <w:t>11</w:t>
            </w:r>
            <w:r w:rsidR="00261E0A">
              <w:rPr>
                <w:rFonts w:ascii="Arial" w:hAnsi="Arial" w:cs="Arial"/>
                <w:sz w:val="20"/>
                <w:szCs w:val="20"/>
              </w:rPr>
              <w:t>1</w:t>
            </w:r>
            <w:r w:rsidRPr="004D664F">
              <w:rPr>
                <w:rFonts w:ascii="Arial" w:hAnsi="Arial" w:cs="Arial"/>
                <w:sz w:val="20"/>
                <w:szCs w:val="20"/>
              </w:rPr>
              <w:t>%</w:t>
            </w:r>
          </w:p>
        </w:tc>
      </w:tr>
      <w:tr w:rsidR="004D664F" w14:paraId="6A8C7113" w14:textId="77777777" w:rsidTr="001D2BA7">
        <w:trPr>
          <w:jc w:val="center"/>
        </w:trPr>
        <w:tc>
          <w:tcPr>
            <w:tcW w:w="0" w:type="auto"/>
            <w:vMerge/>
          </w:tcPr>
          <w:p w14:paraId="0E8B2409" w14:textId="77777777" w:rsidR="004D664F" w:rsidRDefault="004D664F" w:rsidP="004D664F">
            <w:pPr>
              <w:keepNext/>
              <w:keepLines/>
              <w:jc w:val="center"/>
              <w:rPr>
                <w:rFonts w:ascii="Arial" w:hAnsi="Arial" w:cs="Arial"/>
                <w:sz w:val="20"/>
                <w:szCs w:val="20"/>
              </w:rPr>
            </w:pPr>
          </w:p>
        </w:tc>
        <w:tc>
          <w:tcPr>
            <w:tcW w:w="0" w:type="auto"/>
          </w:tcPr>
          <w:p w14:paraId="0AF223BF" w14:textId="337AE5D5" w:rsidR="004D664F" w:rsidRDefault="004D664F" w:rsidP="004D664F">
            <w:pPr>
              <w:keepNext/>
              <w:keepLines/>
              <w:jc w:val="center"/>
              <w:rPr>
                <w:rFonts w:ascii="Arial" w:hAnsi="Arial" w:cs="Arial"/>
                <w:sz w:val="20"/>
                <w:szCs w:val="20"/>
              </w:rPr>
            </w:pPr>
            <w:r w:rsidRPr="00B719EA">
              <w:rPr>
                <w:rFonts w:ascii="Arial" w:hAnsi="Arial" w:cs="Arial"/>
                <w:sz w:val="20"/>
                <w:szCs w:val="20"/>
              </w:rPr>
              <w:t>7</w:t>
            </w:r>
          </w:p>
        </w:tc>
        <w:tc>
          <w:tcPr>
            <w:tcW w:w="0" w:type="auto"/>
          </w:tcPr>
          <w:p w14:paraId="06520BE4" w14:textId="0CCFE656" w:rsidR="004D664F" w:rsidRPr="00D71AD7" w:rsidRDefault="004D664F" w:rsidP="004D664F">
            <w:pPr>
              <w:rPr>
                <w:rFonts w:ascii="Arial" w:hAnsi="Arial" w:cs="Arial"/>
                <w:color w:val="000000"/>
                <w:sz w:val="20"/>
                <w:szCs w:val="20"/>
              </w:rPr>
            </w:pPr>
            <w:r w:rsidRPr="00B719EA">
              <w:rPr>
                <w:rFonts w:ascii="Arial" w:hAnsi="Arial" w:cs="Arial"/>
                <w:sz w:val="20"/>
                <w:szCs w:val="20"/>
              </w:rPr>
              <w:t>7/30/2014</w:t>
            </w:r>
          </w:p>
        </w:tc>
        <w:tc>
          <w:tcPr>
            <w:tcW w:w="0" w:type="auto"/>
          </w:tcPr>
          <w:p w14:paraId="149ED178" w14:textId="1EC42F6F" w:rsidR="004D664F" w:rsidRDefault="004D664F" w:rsidP="004D664F">
            <w:pPr>
              <w:keepNext/>
              <w:keepLines/>
              <w:rPr>
                <w:rFonts w:ascii="Arial" w:hAnsi="Arial" w:cs="Arial"/>
                <w:sz w:val="20"/>
                <w:szCs w:val="20"/>
              </w:rPr>
            </w:pPr>
            <w:r w:rsidRPr="00B719EA">
              <w:rPr>
                <w:rFonts w:ascii="Arial" w:hAnsi="Arial" w:cs="Arial"/>
                <w:sz w:val="20"/>
                <w:szCs w:val="20"/>
              </w:rPr>
              <w:t>Wednesday</w:t>
            </w:r>
          </w:p>
        </w:tc>
        <w:tc>
          <w:tcPr>
            <w:tcW w:w="0" w:type="auto"/>
          </w:tcPr>
          <w:p w14:paraId="2BD69F71" w14:textId="0D7BAC2F" w:rsidR="004D664F" w:rsidRPr="004D664F" w:rsidRDefault="004D664F" w:rsidP="004D664F">
            <w:pPr>
              <w:jc w:val="center"/>
              <w:rPr>
                <w:rFonts w:ascii="Arial" w:hAnsi="Arial" w:cs="Arial"/>
                <w:sz w:val="20"/>
                <w:szCs w:val="20"/>
              </w:rPr>
            </w:pPr>
            <w:r w:rsidRPr="004D664F">
              <w:rPr>
                <w:rFonts w:ascii="Arial" w:hAnsi="Arial" w:cs="Arial"/>
                <w:sz w:val="20"/>
                <w:szCs w:val="20"/>
              </w:rPr>
              <w:t>2.3</w:t>
            </w:r>
          </w:p>
        </w:tc>
        <w:tc>
          <w:tcPr>
            <w:tcW w:w="0" w:type="auto"/>
          </w:tcPr>
          <w:p w14:paraId="63AF8A64" w14:textId="15C30FCE" w:rsidR="004D664F" w:rsidRPr="004D664F" w:rsidRDefault="004D664F" w:rsidP="004D664F">
            <w:pPr>
              <w:jc w:val="center"/>
              <w:rPr>
                <w:rFonts w:ascii="Arial" w:hAnsi="Arial" w:cs="Arial"/>
                <w:sz w:val="20"/>
                <w:szCs w:val="20"/>
              </w:rPr>
            </w:pPr>
            <w:r w:rsidRPr="004D664F">
              <w:rPr>
                <w:rFonts w:ascii="Arial" w:hAnsi="Arial" w:cs="Arial"/>
                <w:sz w:val="20"/>
                <w:szCs w:val="20"/>
              </w:rPr>
              <w:t>1.5</w:t>
            </w:r>
          </w:p>
        </w:tc>
        <w:tc>
          <w:tcPr>
            <w:tcW w:w="0" w:type="auto"/>
          </w:tcPr>
          <w:p w14:paraId="605CFE16" w14:textId="3C532790" w:rsidR="004D664F" w:rsidRPr="004D664F" w:rsidRDefault="004D664F" w:rsidP="00261E0A">
            <w:pPr>
              <w:jc w:val="center"/>
              <w:rPr>
                <w:rFonts w:ascii="Arial" w:hAnsi="Arial" w:cs="Arial"/>
                <w:sz w:val="20"/>
                <w:szCs w:val="20"/>
              </w:rPr>
            </w:pPr>
            <w:r w:rsidRPr="004D664F">
              <w:rPr>
                <w:rFonts w:ascii="Arial" w:hAnsi="Arial" w:cs="Arial"/>
                <w:sz w:val="20"/>
                <w:szCs w:val="20"/>
              </w:rPr>
              <w:t>6</w:t>
            </w:r>
            <w:r w:rsidR="00261E0A">
              <w:rPr>
                <w:rFonts w:ascii="Arial" w:hAnsi="Arial" w:cs="Arial"/>
                <w:sz w:val="20"/>
                <w:szCs w:val="20"/>
              </w:rPr>
              <w:t>3</w:t>
            </w:r>
            <w:r w:rsidRPr="004D664F">
              <w:rPr>
                <w:rFonts w:ascii="Arial" w:hAnsi="Arial" w:cs="Arial"/>
                <w:sz w:val="20"/>
                <w:szCs w:val="20"/>
              </w:rPr>
              <w:t>%</w:t>
            </w:r>
          </w:p>
        </w:tc>
      </w:tr>
      <w:tr w:rsidR="004D664F" w14:paraId="3555DF14" w14:textId="77777777" w:rsidTr="001D2BA7">
        <w:trPr>
          <w:jc w:val="center"/>
        </w:trPr>
        <w:tc>
          <w:tcPr>
            <w:tcW w:w="0" w:type="auto"/>
            <w:vMerge/>
          </w:tcPr>
          <w:p w14:paraId="6A0BD1F7" w14:textId="77777777" w:rsidR="004D664F" w:rsidRDefault="004D664F" w:rsidP="004D664F">
            <w:pPr>
              <w:keepNext/>
              <w:keepLines/>
              <w:jc w:val="center"/>
              <w:rPr>
                <w:rFonts w:ascii="Arial" w:hAnsi="Arial" w:cs="Arial"/>
                <w:sz w:val="20"/>
                <w:szCs w:val="20"/>
              </w:rPr>
            </w:pPr>
          </w:p>
        </w:tc>
        <w:tc>
          <w:tcPr>
            <w:tcW w:w="0" w:type="auto"/>
          </w:tcPr>
          <w:p w14:paraId="6282E2C5" w14:textId="675C8605" w:rsidR="004D664F" w:rsidRDefault="004D664F" w:rsidP="004D664F">
            <w:pPr>
              <w:keepNext/>
              <w:keepLines/>
              <w:jc w:val="center"/>
              <w:rPr>
                <w:rFonts w:ascii="Arial" w:hAnsi="Arial" w:cs="Arial"/>
                <w:sz w:val="20"/>
                <w:szCs w:val="20"/>
              </w:rPr>
            </w:pPr>
            <w:r w:rsidRPr="00B719EA">
              <w:rPr>
                <w:rFonts w:ascii="Arial" w:hAnsi="Arial" w:cs="Arial"/>
                <w:sz w:val="20"/>
                <w:szCs w:val="20"/>
              </w:rPr>
              <w:t>8</w:t>
            </w:r>
          </w:p>
        </w:tc>
        <w:tc>
          <w:tcPr>
            <w:tcW w:w="0" w:type="auto"/>
          </w:tcPr>
          <w:p w14:paraId="52429667" w14:textId="638E5FB5" w:rsidR="004D664F" w:rsidRPr="00D71AD7" w:rsidRDefault="004D664F" w:rsidP="004D664F">
            <w:pPr>
              <w:rPr>
                <w:rFonts w:ascii="Arial" w:hAnsi="Arial" w:cs="Arial"/>
                <w:color w:val="000000"/>
                <w:sz w:val="20"/>
                <w:szCs w:val="20"/>
              </w:rPr>
            </w:pPr>
            <w:r w:rsidRPr="00B719EA">
              <w:rPr>
                <w:rFonts w:ascii="Arial" w:hAnsi="Arial" w:cs="Arial"/>
                <w:sz w:val="20"/>
                <w:szCs w:val="20"/>
              </w:rPr>
              <w:t>7/31/2014</w:t>
            </w:r>
          </w:p>
        </w:tc>
        <w:tc>
          <w:tcPr>
            <w:tcW w:w="0" w:type="auto"/>
          </w:tcPr>
          <w:p w14:paraId="5F90CA67" w14:textId="67FA8030" w:rsidR="004D664F" w:rsidRDefault="004D664F" w:rsidP="004D664F">
            <w:pPr>
              <w:keepNext/>
              <w:keepLines/>
              <w:rPr>
                <w:rFonts w:ascii="Arial" w:hAnsi="Arial" w:cs="Arial"/>
                <w:sz w:val="20"/>
                <w:szCs w:val="20"/>
              </w:rPr>
            </w:pPr>
            <w:r w:rsidRPr="00B719EA">
              <w:rPr>
                <w:rFonts w:ascii="Arial" w:hAnsi="Arial" w:cs="Arial"/>
                <w:sz w:val="20"/>
                <w:szCs w:val="20"/>
              </w:rPr>
              <w:t>Thursday</w:t>
            </w:r>
          </w:p>
        </w:tc>
        <w:tc>
          <w:tcPr>
            <w:tcW w:w="0" w:type="auto"/>
          </w:tcPr>
          <w:p w14:paraId="50B1BB37" w14:textId="5C8948A3" w:rsidR="004D664F" w:rsidRPr="004D664F" w:rsidRDefault="004D664F" w:rsidP="004D664F">
            <w:pPr>
              <w:jc w:val="center"/>
              <w:rPr>
                <w:rFonts w:ascii="Arial" w:hAnsi="Arial" w:cs="Arial"/>
                <w:sz w:val="20"/>
                <w:szCs w:val="20"/>
              </w:rPr>
            </w:pPr>
            <w:r w:rsidRPr="004D664F">
              <w:rPr>
                <w:rFonts w:ascii="Arial" w:hAnsi="Arial" w:cs="Arial"/>
                <w:sz w:val="20"/>
                <w:szCs w:val="20"/>
              </w:rPr>
              <w:t>2.0</w:t>
            </w:r>
          </w:p>
        </w:tc>
        <w:tc>
          <w:tcPr>
            <w:tcW w:w="0" w:type="auto"/>
          </w:tcPr>
          <w:p w14:paraId="4D68191A" w14:textId="774206CF" w:rsidR="004D664F" w:rsidRPr="004D664F" w:rsidRDefault="004D664F" w:rsidP="004D664F">
            <w:pPr>
              <w:jc w:val="center"/>
              <w:rPr>
                <w:rFonts w:ascii="Arial" w:hAnsi="Arial" w:cs="Arial"/>
                <w:sz w:val="20"/>
                <w:szCs w:val="20"/>
              </w:rPr>
            </w:pPr>
            <w:r w:rsidRPr="004D664F">
              <w:rPr>
                <w:rFonts w:ascii="Arial" w:hAnsi="Arial" w:cs="Arial"/>
                <w:sz w:val="20"/>
                <w:szCs w:val="20"/>
              </w:rPr>
              <w:t>0.9</w:t>
            </w:r>
          </w:p>
        </w:tc>
        <w:tc>
          <w:tcPr>
            <w:tcW w:w="0" w:type="auto"/>
          </w:tcPr>
          <w:p w14:paraId="2D97D868" w14:textId="6E2DF121" w:rsidR="004D664F" w:rsidRPr="004D664F" w:rsidRDefault="004D664F" w:rsidP="00261E0A">
            <w:pPr>
              <w:jc w:val="center"/>
              <w:rPr>
                <w:rFonts w:ascii="Arial" w:hAnsi="Arial" w:cs="Arial"/>
                <w:sz w:val="20"/>
                <w:szCs w:val="20"/>
              </w:rPr>
            </w:pPr>
            <w:r w:rsidRPr="004D664F">
              <w:rPr>
                <w:rFonts w:ascii="Arial" w:hAnsi="Arial" w:cs="Arial"/>
                <w:sz w:val="20"/>
                <w:szCs w:val="20"/>
              </w:rPr>
              <w:t>4</w:t>
            </w:r>
            <w:r w:rsidR="00261E0A">
              <w:rPr>
                <w:rFonts w:ascii="Arial" w:hAnsi="Arial" w:cs="Arial"/>
                <w:sz w:val="20"/>
                <w:szCs w:val="20"/>
              </w:rPr>
              <w:t>5</w:t>
            </w:r>
            <w:r w:rsidRPr="004D664F">
              <w:rPr>
                <w:rFonts w:ascii="Arial" w:hAnsi="Arial" w:cs="Arial"/>
                <w:sz w:val="20"/>
                <w:szCs w:val="20"/>
              </w:rPr>
              <w:t>%</w:t>
            </w:r>
          </w:p>
        </w:tc>
      </w:tr>
      <w:tr w:rsidR="004D664F" w14:paraId="1EEABBE6" w14:textId="77777777" w:rsidTr="001D2BA7">
        <w:trPr>
          <w:jc w:val="center"/>
        </w:trPr>
        <w:tc>
          <w:tcPr>
            <w:tcW w:w="0" w:type="auto"/>
            <w:vMerge/>
          </w:tcPr>
          <w:p w14:paraId="4C36C4FD" w14:textId="77777777" w:rsidR="004D664F" w:rsidRDefault="004D664F" w:rsidP="004D664F">
            <w:pPr>
              <w:keepNext/>
              <w:keepLines/>
              <w:jc w:val="center"/>
              <w:rPr>
                <w:rFonts w:ascii="Arial" w:hAnsi="Arial" w:cs="Arial"/>
                <w:sz w:val="20"/>
                <w:szCs w:val="20"/>
              </w:rPr>
            </w:pPr>
          </w:p>
        </w:tc>
        <w:tc>
          <w:tcPr>
            <w:tcW w:w="0" w:type="auto"/>
          </w:tcPr>
          <w:p w14:paraId="6C2FED55" w14:textId="10149EB0" w:rsidR="004D664F" w:rsidRDefault="004D664F" w:rsidP="004D664F">
            <w:pPr>
              <w:keepNext/>
              <w:keepLines/>
              <w:jc w:val="center"/>
              <w:rPr>
                <w:rFonts w:ascii="Arial" w:hAnsi="Arial" w:cs="Arial"/>
                <w:sz w:val="20"/>
                <w:szCs w:val="20"/>
              </w:rPr>
            </w:pPr>
            <w:r w:rsidRPr="00B719EA">
              <w:rPr>
                <w:rFonts w:ascii="Arial" w:hAnsi="Arial" w:cs="Arial"/>
                <w:sz w:val="20"/>
                <w:szCs w:val="20"/>
              </w:rPr>
              <w:t>9</w:t>
            </w:r>
          </w:p>
        </w:tc>
        <w:tc>
          <w:tcPr>
            <w:tcW w:w="0" w:type="auto"/>
          </w:tcPr>
          <w:p w14:paraId="05B0C467" w14:textId="021872F9" w:rsidR="004D664F" w:rsidRPr="00D71AD7" w:rsidRDefault="004D664F" w:rsidP="004D664F">
            <w:pPr>
              <w:rPr>
                <w:rFonts w:ascii="Arial" w:hAnsi="Arial" w:cs="Arial"/>
                <w:color w:val="000000"/>
                <w:sz w:val="20"/>
                <w:szCs w:val="20"/>
              </w:rPr>
            </w:pPr>
            <w:r w:rsidRPr="00B719EA">
              <w:rPr>
                <w:rFonts w:ascii="Arial" w:hAnsi="Arial" w:cs="Arial"/>
                <w:sz w:val="20"/>
                <w:szCs w:val="20"/>
              </w:rPr>
              <w:t>8/1/2014</w:t>
            </w:r>
          </w:p>
        </w:tc>
        <w:tc>
          <w:tcPr>
            <w:tcW w:w="0" w:type="auto"/>
          </w:tcPr>
          <w:p w14:paraId="696B53E5" w14:textId="7EFF744C" w:rsidR="004D664F" w:rsidRDefault="004D664F" w:rsidP="004D664F">
            <w:pPr>
              <w:keepNext/>
              <w:keepLines/>
              <w:rPr>
                <w:rFonts w:ascii="Arial" w:hAnsi="Arial" w:cs="Arial"/>
                <w:sz w:val="20"/>
                <w:szCs w:val="20"/>
              </w:rPr>
            </w:pPr>
            <w:r w:rsidRPr="00B719EA">
              <w:rPr>
                <w:rFonts w:ascii="Arial" w:hAnsi="Arial" w:cs="Arial"/>
                <w:sz w:val="20"/>
                <w:szCs w:val="20"/>
              </w:rPr>
              <w:t>Friday</w:t>
            </w:r>
          </w:p>
        </w:tc>
        <w:tc>
          <w:tcPr>
            <w:tcW w:w="0" w:type="auto"/>
          </w:tcPr>
          <w:p w14:paraId="557E6609" w14:textId="6CB74346" w:rsidR="004D664F" w:rsidRPr="004D664F" w:rsidRDefault="004D664F" w:rsidP="004D664F">
            <w:pPr>
              <w:jc w:val="center"/>
              <w:rPr>
                <w:rFonts w:ascii="Arial" w:hAnsi="Arial" w:cs="Arial"/>
                <w:sz w:val="20"/>
                <w:szCs w:val="20"/>
              </w:rPr>
            </w:pPr>
          </w:p>
        </w:tc>
        <w:tc>
          <w:tcPr>
            <w:tcW w:w="0" w:type="auto"/>
          </w:tcPr>
          <w:p w14:paraId="6D1D4C0C" w14:textId="09ADD454" w:rsidR="004D664F" w:rsidRPr="004D664F" w:rsidRDefault="004D664F" w:rsidP="004D664F">
            <w:pPr>
              <w:jc w:val="center"/>
              <w:rPr>
                <w:rFonts w:ascii="Arial" w:hAnsi="Arial" w:cs="Arial"/>
                <w:sz w:val="20"/>
                <w:szCs w:val="20"/>
              </w:rPr>
            </w:pPr>
          </w:p>
        </w:tc>
        <w:tc>
          <w:tcPr>
            <w:tcW w:w="0" w:type="auto"/>
          </w:tcPr>
          <w:p w14:paraId="17FB4DF7" w14:textId="07B6C4F0" w:rsidR="004D664F" w:rsidRPr="004D664F" w:rsidRDefault="004D664F" w:rsidP="004D664F">
            <w:pPr>
              <w:jc w:val="center"/>
              <w:rPr>
                <w:rFonts w:ascii="Arial" w:hAnsi="Arial" w:cs="Arial"/>
                <w:sz w:val="20"/>
                <w:szCs w:val="20"/>
              </w:rPr>
            </w:pPr>
          </w:p>
        </w:tc>
      </w:tr>
      <w:tr w:rsidR="00531E04" w14:paraId="6D3AD3A9" w14:textId="77777777" w:rsidTr="001D2BA7">
        <w:trPr>
          <w:jc w:val="center"/>
        </w:trPr>
        <w:tc>
          <w:tcPr>
            <w:tcW w:w="0" w:type="auto"/>
            <w:vMerge/>
          </w:tcPr>
          <w:p w14:paraId="2284A5CA" w14:textId="77777777" w:rsidR="00531E04" w:rsidRDefault="00531E04" w:rsidP="00531E04">
            <w:pPr>
              <w:keepNext/>
              <w:keepLines/>
              <w:jc w:val="center"/>
              <w:rPr>
                <w:rFonts w:ascii="Arial" w:hAnsi="Arial" w:cs="Arial"/>
                <w:sz w:val="20"/>
                <w:szCs w:val="20"/>
              </w:rPr>
            </w:pPr>
          </w:p>
        </w:tc>
        <w:tc>
          <w:tcPr>
            <w:tcW w:w="0" w:type="auto"/>
          </w:tcPr>
          <w:p w14:paraId="55D90462" w14:textId="6E3D903C" w:rsidR="00531E04" w:rsidRDefault="00531E04" w:rsidP="00531E04">
            <w:pPr>
              <w:keepNext/>
              <w:keepLines/>
              <w:jc w:val="center"/>
              <w:rPr>
                <w:rFonts w:ascii="Arial" w:hAnsi="Arial" w:cs="Arial"/>
                <w:sz w:val="20"/>
                <w:szCs w:val="20"/>
              </w:rPr>
            </w:pPr>
            <w:r w:rsidRPr="00B719EA">
              <w:rPr>
                <w:rFonts w:ascii="Arial" w:hAnsi="Arial" w:cs="Arial"/>
                <w:sz w:val="20"/>
                <w:szCs w:val="20"/>
              </w:rPr>
              <w:t>10</w:t>
            </w:r>
          </w:p>
        </w:tc>
        <w:tc>
          <w:tcPr>
            <w:tcW w:w="0" w:type="auto"/>
          </w:tcPr>
          <w:p w14:paraId="018A00D1" w14:textId="2350B69F" w:rsidR="00531E04" w:rsidRPr="00D71AD7" w:rsidRDefault="00531E04" w:rsidP="00531E04">
            <w:pPr>
              <w:rPr>
                <w:rFonts w:ascii="Arial" w:hAnsi="Arial" w:cs="Arial"/>
                <w:color w:val="000000"/>
                <w:sz w:val="20"/>
                <w:szCs w:val="20"/>
              </w:rPr>
            </w:pPr>
            <w:r w:rsidRPr="00B719EA">
              <w:rPr>
                <w:rFonts w:ascii="Arial" w:hAnsi="Arial" w:cs="Arial"/>
                <w:sz w:val="20"/>
                <w:szCs w:val="20"/>
              </w:rPr>
              <w:t>9/12/2014</w:t>
            </w:r>
          </w:p>
        </w:tc>
        <w:tc>
          <w:tcPr>
            <w:tcW w:w="0" w:type="auto"/>
          </w:tcPr>
          <w:p w14:paraId="264E03E8" w14:textId="7E0807FE" w:rsidR="00531E04" w:rsidRDefault="00531E04" w:rsidP="00531E04">
            <w:pPr>
              <w:keepNext/>
              <w:keepLines/>
              <w:rPr>
                <w:rFonts w:ascii="Arial" w:hAnsi="Arial" w:cs="Arial"/>
                <w:sz w:val="20"/>
                <w:szCs w:val="20"/>
              </w:rPr>
            </w:pPr>
            <w:r w:rsidRPr="00B719EA">
              <w:rPr>
                <w:rFonts w:ascii="Arial" w:hAnsi="Arial" w:cs="Arial"/>
                <w:sz w:val="20"/>
                <w:szCs w:val="20"/>
              </w:rPr>
              <w:t>Friday</w:t>
            </w:r>
          </w:p>
        </w:tc>
        <w:tc>
          <w:tcPr>
            <w:tcW w:w="0" w:type="auto"/>
            <w:vAlign w:val="bottom"/>
          </w:tcPr>
          <w:p w14:paraId="19F894AE" w14:textId="6CA6DEFC" w:rsidR="00531E04" w:rsidRPr="004D664F" w:rsidRDefault="004D664F" w:rsidP="00531E04">
            <w:pPr>
              <w:jc w:val="center"/>
              <w:rPr>
                <w:rFonts w:ascii="Arial" w:hAnsi="Arial" w:cs="Arial"/>
                <w:sz w:val="20"/>
                <w:szCs w:val="20"/>
              </w:rPr>
            </w:pPr>
            <w:r w:rsidRPr="004D664F">
              <w:rPr>
                <w:rFonts w:ascii="Arial" w:hAnsi="Arial" w:cs="Arial"/>
                <w:sz w:val="20"/>
                <w:szCs w:val="20"/>
              </w:rPr>
              <w:t>n/a</w:t>
            </w:r>
          </w:p>
        </w:tc>
        <w:tc>
          <w:tcPr>
            <w:tcW w:w="0" w:type="auto"/>
          </w:tcPr>
          <w:p w14:paraId="706C9B6E" w14:textId="2E3CB9FE" w:rsidR="00531E04" w:rsidRPr="004D664F" w:rsidRDefault="004D664F" w:rsidP="00531E04">
            <w:pPr>
              <w:jc w:val="center"/>
              <w:rPr>
                <w:rFonts w:ascii="Arial" w:hAnsi="Arial" w:cs="Arial"/>
                <w:sz w:val="20"/>
                <w:szCs w:val="20"/>
              </w:rPr>
            </w:pPr>
            <w:r w:rsidRPr="004D664F">
              <w:rPr>
                <w:rFonts w:ascii="Arial" w:hAnsi="Arial" w:cs="Arial"/>
                <w:sz w:val="20"/>
                <w:szCs w:val="20"/>
              </w:rPr>
              <w:t>n/a</w:t>
            </w:r>
          </w:p>
        </w:tc>
        <w:tc>
          <w:tcPr>
            <w:tcW w:w="0" w:type="auto"/>
            <w:vAlign w:val="bottom"/>
          </w:tcPr>
          <w:p w14:paraId="1193C6B5" w14:textId="5705B1A5" w:rsidR="00531E04" w:rsidRPr="004D664F" w:rsidRDefault="004D664F" w:rsidP="004D664F">
            <w:pPr>
              <w:jc w:val="center"/>
              <w:rPr>
                <w:rFonts w:ascii="Arial" w:hAnsi="Arial" w:cs="Arial"/>
                <w:sz w:val="20"/>
                <w:szCs w:val="20"/>
              </w:rPr>
            </w:pPr>
            <w:r w:rsidRPr="004D664F">
              <w:rPr>
                <w:rFonts w:ascii="Arial" w:hAnsi="Arial" w:cs="Arial"/>
                <w:sz w:val="20"/>
                <w:szCs w:val="20"/>
              </w:rPr>
              <w:t>n/a</w:t>
            </w:r>
          </w:p>
        </w:tc>
      </w:tr>
      <w:tr w:rsidR="004D664F" w14:paraId="6ECFE4CB" w14:textId="77777777" w:rsidTr="001D2BA7">
        <w:trPr>
          <w:jc w:val="center"/>
        </w:trPr>
        <w:tc>
          <w:tcPr>
            <w:tcW w:w="0" w:type="auto"/>
            <w:vMerge/>
          </w:tcPr>
          <w:p w14:paraId="04D6E64C" w14:textId="77777777" w:rsidR="004D664F" w:rsidRDefault="004D664F" w:rsidP="004D664F">
            <w:pPr>
              <w:keepNext/>
              <w:keepLines/>
              <w:jc w:val="center"/>
              <w:rPr>
                <w:rFonts w:ascii="Arial" w:hAnsi="Arial" w:cs="Arial"/>
                <w:sz w:val="20"/>
                <w:szCs w:val="20"/>
              </w:rPr>
            </w:pPr>
          </w:p>
        </w:tc>
        <w:tc>
          <w:tcPr>
            <w:tcW w:w="0" w:type="auto"/>
          </w:tcPr>
          <w:p w14:paraId="434D944D" w14:textId="2B424BF8" w:rsidR="004D664F" w:rsidRDefault="004D664F" w:rsidP="004D664F">
            <w:pPr>
              <w:keepNext/>
              <w:keepLines/>
              <w:jc w:val="center"/>
              <w:rPr>
                <w:rFonts w:ascii="Arial" w:hAnsi="Arial" w:cs="Arial"/>
                <w:sz w:val="20"/>
                <w:szCs w:val="20"/>
              </w:rPr>
            </w:pPr>
            <w:r w:rsidRPr="00B719EA">
              <w:rPr>
                <w:rFonts w:ascii="Arial" w:hAnsi="Arial" w:cs="Arial"/>
                <w:sz w:val="20"/>
                <w:szCs w:val="20"/>
              </w:rPr>
              <w:t>11</w:t>
            </w:r>
          </w:p>
        </w:tc>
        <w:tc>
          <w:tcPr>
            <w:tcW w:w="0" w:type="auto"/>
          </w:tcPr>
          <w:p w14:paraId="123F2BA3" w14:textId="431D6052" w:rsidR="004D664F" w:rsidRPr="00D71AD7" w:rsidRDefault="004D664F" w:rsidP="004D664F">
            <w:pPr>
              <w:rPr>
                <w:rFonts w:ascii="Arial" w:hAnsi="Arial" w:cs="Arial"/>
                <w:color w:val="000000"/>
                <w:sz w:val="20"/>
                <w:szCs w:val="20"/>
              </w:rPr>
            </w:pPr>
            <w:r w:rsidRPr="00B719EA">
              <w:rPr>
                <w:rFonts w:ascii="Arial" w:hAnsi="Arial" w:cs="Arial"/>
                <w:sz w:val="20"/>
                <w:szCs w:val="20"/>
              </w:rPr>
              <w:t>9/15/2014</w:t>
            </w:r>
          </w:p>
        </w:tc>
        <w:tc>
          <w:tcPr>
            <w:tcW w:w="0" w:type="auto"/>
          </w:tcPr>
          <w:p w14:paraId="1C79C1A4" w14:textId="2EF07A1A" w:rsidR="004D664F" w:rsidRDefault="004D664F" w:rsidP="004D664F">
            <w:pPr>
              <w:keepNext/>
              <w:keepLines/>
              <w:rPr>
                <w:rFonts w:ascii="Arial" w:hAnsi="Arial" w:cs="Arial"/>
                <w:sz w:val="20"/>
                <w:szCs w:val="20"/>
              </w:rPr>
            </w:pPr>
            <w:r w:rsidRPr="00B719EA">
              <w:rPr>
                <w:rFonts w:ascii="Arial" w:hAnsi="Arial" w:cs="Arial"/>
                <w:sz w:val="20"/>
                <w:szCs w:val="20"/>
              </w:rPr>
              <w:t>Monday</w:t>
            </w:r>
          </w:p>
        </w:tc>
        <w:tc>
          <w:tcPr>
            <w:tcW w:w="0" w:type="auto"/>
          </w:tcPr>
          <w:p w14:paraId="0606779D" w14:textId="635ED3F9" w:rsidR="004D664F" w:rsidRPr="004D664F" w:rsidRDefault="004D664F" w:rsidP="004D664F">
            <w:pPr>
              <w:jc w:val="center"/>
              <w:rPr>
                <w:rFonts w:ascii="Arial" w:hAnsi="Arial" w:cs="Arial"/>
                <w:sz w:val="20"/>
                <w:szCs w:val="20"/>
              </w:rPr>
            </w:pPr>
            <w:r w:rsidRPr="004D664F">
              <w:rPr>
                <w:rFonts w:ascii="Arial" w:hAnsi="Arial" w:cs="Arial"/>
                <w:sz w:val="20"/>
                <w:szCs w:val="20"/>
              </w:rPr>
              <w:t>2.6</w:t>
            </w:r>
          </w:p>
        </w:tc>
        <w:tc>
          <w:tcPr>
            <w:tcW w:w="0" w:type="auto"/>
          </w:tcPr>
          <w:p w14:paraId="41277D01" w14:textId="2189D9F6" w:rsidR="004D664F" w:rsidRPr="004D664F" w:rsidRDefault="004D664F" w:rsidP="004D664F">
            <w:pPr>
              <w:jc w:val="center"/>
              <w:rPr>
                <w:rFonts w:ascii="Arial" w:hAnsi="Arial" w:cs="Arial"/>
                <w:sz w:val="20"/>
                <w:szCs w:val="20"/>
              </w:rPr>
            </w:pPr>
            <w:r w:rsidRPr="004D664F">
              <w:rPr>
                <w:rFonts w:ascii="Arial" w:hAnsi="Arial" w:cs="Arial"/>
                <w:sz w:val="20"/>
                <w:szCs w:val="20"/>
              </w:rPr>
              <w:t>0.3</w:t>
            </w:r>
          </w:p>
        </w:tc>
        <w:tc>
          <w:tcPr>
            <w:tcW w:w="0" w:type="auto"/>
            <w:vAlign w:val="bottom"/>
          </w:tcPr>
          <w:p w14:paraId="22F36755" w14:textId="5439E6EE" w:rsidR="004D664F" w:rsidRPr="004D664F" w:rsidRDefault="004D664F" w:rsidP="00261E0A">
            <w:pPr>
              <w:jc w:val="center"/>
              <w:rPr>
                <w:rFonts w:ascii="Arial" w:hAnsi="Arial" w:cs="Arial"/>
                <w:sz w:val="20"/>
                <w:szCs w:val="20"/>
              </w:rPr>
            </w:pPr>
            <w:r w:rsidRPr="004D664F">
              <w:rPr>
                <w:rFonts w:ascii="Arial" w:hAnsi="Arial" w:cs="Arial"/>
                <w:sz w:val="20"/>
                <w:szCs w:val="20"/>
              </w:rPr>
              <w:t>1</w:t>
            </w:r>
            <w:r w:rsidR="00261E0A">
              <w:rPr>
                <w:rFonts w:ascii="Arial" w:hAnsi="Arial" w:cs="Arial"/>
                <w:sz w:val="20"/>
                <w:szCs w:val="20"/>
              </w:rPr>
              <w:t>3</w:t>
            </w:r>
            <w:r w:rsidRPr="004D664F">
              <w:rPr>
                <w:rFonts w:ascii="Arial" w:hAnsi="Arial" w:cs="Arial"/>
                <w:sz w:val="20"/>
                <w:szCs w:val="20"/>
              </w:rPr>
              <w:t>%</w:t>
            </w:r>
          </w:p>
        </w:tc>
      </w:tr>
      <w:tr w:rsidR="004D664F" w14:paraId="39BE893F" w14:textId="77777777" w:rsidTr="001D2BA7">
        <w:trPr>
          <w:jc w:val="center"/>
        </w:trPr>
        <w:tc>
          <w:tcPr>
            <w:tcW w:w="0" w:type="auto"/>
            <w:vMerge/>
          </w:tcPr>
          <w:p w14:paraId="38893370" w14:textId="77777777" w:rsidR="004D664F" w:rsidRDefault="004D664F" w:rsidP="004D664F">
            <w:pPr>
              <w:keepNext/>
              <w:keepLines/>
              <w:jc w:val="center"/>
              <w:rPr>
                <w:rFonts w:ascii="Arial" w:hAnsi="Arial" w:cs="Arial"/>
                <w:sz w:val="20"/>
                <w:szCs w:val="20"/>
              </w:rPr>
            </w:pPr>
          </w:p>
        </w:tc>
        <w:tc>
          <w:tcPr>
            <w:tcW w:w="0" w:type="auto"/>
          </w:tcPr>
          <w:p w14:paraId="0287148D" w14:textId="57C20B2E" w:rsidR="004D664F" w:rsidRDefault="004D664F" w:rsidP="004D664F">
            <w:pPr>
              <w:keepNext/>
              <w:keepLines/>
              <w:jc w:val="center"/>
              <w:rPr>
                <w:rFonts w:ascii="Arial" w:hAnsi="Arial" w:cs="Arial"/>
                <w:sz w:val="20"/>
                <w:szCs w:val="20"/>
              </w:rPr>
            </w:pPr>
            <w:r w:rsidRPr="00B719EA">
              <w:rPr>
                <w:rFonts w:ascii="Arial" w:hAnsi="Arial" w:cs="Arial"/>
                <w:sz w:val="20"/>
                <w:szCs w:val="20"/>
              </w:rPr>
              <w:t>12</w:t>
            </w:r>
          </w:p>
        </w:tc>
        <w:tc>
          <w:tcPr>
            <w:tcW w:w="0" w:type="auto"/>
          </w:tcPr>
          <w:p w14:paraId="132C15EE" w14:textId="41C45050" w:rsidR="004D664F" w:rsidRPr="00D71AD7" w:rsidRDefault="004D664F" w:rsidP="004D664F">
            <w:pPr>
              <w:rPr>
                <w:rFonts w:ascii="Arial" w:hAnsi="Arial" w:cs="Arial"/>
                <w:color w:val="000000"/>
                <w:sz w:val="20"/>
                <w:szCs w:val="20"/>
              </w:rPr>
            </w:pPr>
            <w:r w:rsidRPr="00B719EA">
              <w:rPr>
                <w:rFonts w:ascii="Arial" w:hAnsi="Arial" w:cs="Arial"/>
                <w:sz w:val="20"/>
                <w:szCs w:val="20"/>
              </w:rPr>
              <w:t>9/16/2014</w:t>
            </w:r>
          </w:p>
        </w:tc>
        <w:tc>
          <w:tcPr>
            <w:tcW w:w="0" w:type="auto"/>
          </w:tcPr>
          <w:p w14:paraId="1D52017D" w14:textId="63F2ABAF" w:rsidR="004D664F" w:rsidRDefault="004D664F" w:rsidP="004D664F">
            <w:pPr>
              <w:keepNext/>
              <w:keepLines/>
              <w:rPr>
                <w:rFonts w:ascii="Arial" w:hAnsi="Arial" w:cs="Arial"/>
                <w:sz w:val="20"/>
                <w:szCs w:val="20"/>
              </w:rPr>
            </w:pPr>
            <w:r w:rsidRPr="00B719EA">
              <w:rPr>
                <w:rFonts w:ascii="Arial" w:hAnsi="Arial" w:cs="Arial"/>
                <w:sz w:val="20"/>
                <w:szCs w:val="20"/>
              </w:rPr>
              <w:t>Tuesday</w:t>
            </w:r>
          </w:p>
        </w:tc>
        <w:tc>
          <w:tcPr>
            <w:tcW w:w="0" w:type="auto"/>
          </w:tcPr>
          <w:p w14:paraId="6E0FE176" w14:textId="47F6E8F9" w:rsidR="004D664F" w:rsidRPr="004D664F" w:rsidRDefault="004D664F" w:rsidP="004D664F">
            <w:pPr>
              <w:jc w:val="center"/>
              <w:rPr>
                <w:rFonts w:ascii="Arial" w:hAnsi="Arial" w:cs="Arial"/>
                <w:sz w:val="20"/>
                <w:szCs w:val="20"/>
              </w:rPr>
            </w:pPr>
            <w:r w:rsidRPr="004D664F">
              <w:rPr>
                <w:rFonts w:ascii="Arial" w:hAnsi="Arial" w:cs="Arial"/>
                <w:sz w:val="20"/>
                <w:szCs w:val="20"/>
              </w:rPr>
              <w:t>2.1</w:t>
            </w:r>
          </w:p>
        </w:tc>
        <w:tc>
          <w:tcPr>
            <w:tcW w:w="0" w:type="auto"/>
          </w:tcPr>
          <w:p w14:paraId="72496FE3" w14:textId="407B7C2C" w:rsidR="004D664F" w:rsidRPr="004D664F" w:rsidRDefault="004D664F" w:rsidP="004D664F">
            <w:pPr>
              <w:jc w:val="center"/>
              <w:rPr>
                <w:rFonts w:ascii="Arial" w:hAnsi="Arial" w:cs="Arial"/>
                <w:sz w:val="20"/>
                <w:szCs w:val="20"/>
              </w:rPr>
            </w:pPr>
            <w:r w:rsidRPr="004D664F">
              <w:rPr>
                <w:rFonts w:ascii="Arial" w:hAnsi="Arial" w:cs="Arial"/>
                <w:sz w:val="20"/>
                <w:szCs w:val="20"/>
              </w:rPr>
              <w:t>0.2</w:t>
            </w:r>
          </w:p>
        </w:tc>
        <w:tc>
          <w:tcPr>
            <w:tcW w:w="0" w:type="auto"/>
            <w:vAlign w:val="bottom"/>
          </w:tcPr>
          <w:p w14:paraId="065659C5" w14:textId="2A125FF5" w:rsidR="004D664F" w:rsidRPr="004D664F" w:rsidRDefault="00261E0A" w:rsidP="004D664F">
            <w:pPr>
              <w:jc w:val="center"/>
              <w:rPr>
                <w:rFonts w:ascii="Arial" w:hAnsi="Arial" w:cs="Arial"/>
                <w:sz w:val="20"/>
                <w:szCs w:val="20"/>
              </w:rPr>
            </w:pPr>
            <w:r>
              <w:rPr>
                <w:rFonts w:ascii="Arial" w:hAnsi="Arial" w:cs="Arial"/>
                <w:sz w:val="20"/>
                <w:szCs w:val="20"/>
              </w:rPr>
              <w:t>10</w:t>
            </w:r>
            <w:r w:rsidR="004D664F" w:rsidRPr="004D664F">
              <w:rPr>
                <w:rFonts w:ascii="Arial" w:hAnsi="Arial" w:cs="Arial"/>
                <w:sz w:val="20"/>
                <w:szCs w:val="20"/>
              </w:rPr>
              <w:t>%</w:t>
            </w:r>
          </w:p>
        </w:tc>
      </w:tr>
      <w:tr w:rsidR="006C7836" w14:paraId="6D5ECD6F" w14:textId="77777777" w:rsidTr="001C6A3B">
        <w:trPr>
          <w:jc w:val="center"/>
        </w:trPr>
        <w:tc>
          <w:tcPr>
            <w:tcW w:w="0" w:type="auto"/>
            <w:vMerge/>
          </w:tcPr>
          <w:p w14:paraId="5DA415F1" w14:textId="77777777" w:rsidR="006C7836" w:rsidRDefault="006C7836" w:rsidP="006C7836">
            <w:pPr>
              <w:keepNext/>
              <w:keepLines/>
              <w:jc w:val="center"/>
              <w:rPr>
                <w:rFonts w:ascii="Arial" w:hAnsi="Arial" w:cs="Arial"/>
                <w:sz w:val="20"/>
                <w:szCs w:val="20"/>
              </w:rPr>
            </w:pPr>
          </w:p>
        </w:tc>
        <w:tc>
          <w:tcPr>
            <w:tcW w:w="0" w:type="auto"/>
            <w:gridSpan w:val="3"/>
          </w:tcPr>
          <w:p w14:paraId="7AEAB981" w14:textId="77777777" w:rsidR="006C7836" w:rsidRPr="0058386F" w:rsidRDefault="006C7836" w:rsidP="006C7836">
            <w:pPr>
              <w:keepNext/>
              <w:keepLines/>
              <w:jc w:val="right"/>
              <w:rPr>
                <w:rFonts w:ascii="Arial" w:hAnsi="Arial" w:cs="Arial"/>
                <w:b/>
                <w:sz w:val="20"/>
                <w:szCs w:val="20"/>
              </w:rPr>
            </w:pPr>
            <w:r w:rsidRPr="0058386F">
              <w:rPr>
                <w:rFonts w:ascii="Arial" w:hAnsi="Arial" w:cs="Arial"/>
                <w:b/>
                <w:sz w:val="20"/>
                <w:szCs w:val="20"/>
              </w:rPr>
              <w:t>Average</w:t>
            </w:r>
            <w:r>
              <w:rPr>
                <w:rFonts w:ascii="Arial" w:hAnsi="Arial" w:cs="Arial"/>
                <w:b/>
                <w:sz w:val="20"/>
                <w:szCs w:val="20"/>
              </w:rPr>
              <w:t xml:space="preserve"> when all called</w:t>
            </w:r>
          </w:p>
        </w:tc>
        <w:tc>
          <w:tcPr>
            <w:tcW w:w="0" w:type="auto"/>
          </w:tcPr>
          <w:p w14:paraId="19DB8CD7" w14:textId="6654796A" w:rsidR="006C7836" w:rsidRPr="004D664F" w:rsidRDefault="004D664F" w:rsidP="006C7836">
            <w:pPr>
              <w:jc w:val="center"/>
              <w:rPr>
                <w:rFonts w:ascii="Arial" w:hAnsi="Arial" w:cs="Arial"/>
                <w:b/>
                <w:sz w:val="20"/>
                <w:szCs w:val="20"/>
              </w:rPr>
            </w:pPr>
            <w:r w:rsidRPr="004D664F">
              <w:rPr>
                <w:rFonts w:ascii="Arial" w:hAnsi="Arial" w:cs="Arial"/>
                <w:b/>
                <w:sz w:val="20"/>
                <w:szCs w:val="20"/>
              </w:rPr>
              <w:t>2.2</w:t>
            </w:r>
          </w:p>
        </w:tc>
        <w:tc>
          <w:tcPr>
            <w:tcW w:w="0" w:type="auto"/>
          </w:tcPr>
          <w:p w14:paraId="16B6DB11" w14:textId="23073EE3" w:rsidR="006C7836" w:rsidRPr="004D664F" w:rsidRDefault="00531E04" w:rsidP="006C7836">
            <w:pPr>
              <w:jc w:val="center"/>
              <w:rPr>
                <w:rFonts w:ascii="Arial" w:hAnsi="Arial" w:cs="Arial"/>
                <w:b/>
                <w:sz w:val="20"/>
                <w:szCs w:val="20"/>
              </w:rPr>
            </w:pPr>
            <w:r w:rsidRPr="004D664F">
              <w:rPr>
                <w:rFonts w:ascii="Arial" w:hAnsi="Arial" w:cs="Arial"/>
                <w:b/>
                <w:sz w:val="20"/>
                <w:szCs w:val="20"/>
              </w:rPr>
              <w:t>0.9</w:t>
            </w:r>
          </w:p>
        </w:tc>
        <w:tc>
          <w:tcPr>
            <w:tcW w:w="0" w:type="auto"/>
          </w:tcPr>
          <w:p w14:paraId="7FFECF2C" w14:textId="4CDF8806" w:rsidR="006C7836" w:rsidRPr="004D664F" w:rsidRDefault="004D664F" w:rsidP="00261E0A">
            <w:pPr>
              <w:jc w:val="center"/>
              <w:rPr>
                <w:rFonts w:ascii="Arial" w:hAnsi="Arial" w:cs="Arial"/>
                <w:b/>
                <w:sz w:val="20"/>
                <w:szCs w:val="20"/>
              </w:rPr>
            </w:pPr>
            <w:r w:rsidRPr="004D664F">
              <w:rPr>
                <w:rFonts w:ascii="Arial" w:hAnsi="Arial" w:cs="Arial"/>
                <w:b/>
                <w:sz w:val="20"/>
                <w:szCs w:val="20"/>
              </w:rPr>
              <w:t>4</w:t>
            </w:r>
            <w:r w:rsidR="00261E0A">
              <w:rPr>
                <w:rFonts w:ascii="Arial" w:hAnsi="Arial" w:cs="Arial"/>
                <w:b/>
                <w:sz w:val="20"/>
                <w:szCs w:val="20"/>
              </w:rPr>
              <w:t>1</w:t>
            </w:r>
            <w:r w:rsidRPr="004D664F">
              <w:rPr>
                <w:rFonts w:ascii="Arial" w:hAnsi="Arial" w:cs="Arial"/>
                <w:b/>
                <w:sz w:val="20"/>
                <w:szCs w:val="20"/>
              </w:rPr>
              <w:t>%</w:t>
            </w:r>
          </w:p>
        </w:tc>
      </w:tr>
    </w:tbl>
    <w:p w14:paraId="68FBFE4D" w14:textId="77777777" w:rsidR="00EF7726" w:rsidRDefault="00EF7726" w:rsidP="00146E50"/>
    <w:p w14:paraId="2657CE3B" w14:textId="61946292" w:rsidR="00321E09" w:rsidRDefault="00321E09" w:rsidP="00146E50">
      <w:r>
        <w:t>Table 4.</w:t>
      </w:r>
      <w:r w:rsidR="00F02657">
        <w:t>3</w:t>
      </w:r>
      <w:r>
        <w:t xml:space="preserve"> summarizes average </w:t>
      </w:r>
      <w:r w:rsidR="002B3A3B">
        <w:t>event-</w:t>
      </w:r>
      <w:r>
        <w:t>hour DBP load impacts at the program level</w:t>
      </w:r>
      <w:r w:rsidR="007D5F7C">
        <w:t xml:space="preserve"> (i.e., including both bidders and non-bidders)</w:t>
      </w:r>
      <w:r>
        <w:t xml:space="preserve"> and by industry group for </w:t>
      </w:r>
      <w:r w:rsidR="002B3A3B">
        <w:t>the average</w:t>
      </w:r>
      <w:r w:rsidR="00F02657">
        <w:t xml:space="preserve"> </w:t>
      </w:r>
      <w:r>
        <w:t>PG&amp;E event.</w:t>
      </w:r>
      <w:r w:rsidR="00C40C8D">
        <w:t xml:space="preserve"> </w:t>
      </w:r>
      <w:r w:rsidRPr="00CF11D1">
        <w:t>The Manufacturing industry group accounted for the largest share of the load impacts</w:t>
      </w:r>
      <w:r w:rsidR="0092092B">
        <w:t>, with a 2</w:t>
      </w:r>
      <w:r w:rsidR="001F603C">
        <w:t>1</w:t>
      </w:r>
      <w:r w:rsidR="0092092B">
        <w:t>.</w:t>
      </w:r>
      <w:r w:rsidR="00255FA2">
        <w:t>2</w:t>
      </w:r>
      <w:r w:rsidR="0092092B">
        <w:t xml:space="preserve"> MW average event-hour load reduction</w:t>
      </w:r>
      <w:r w:rsidRPr="00CF11D1">
        <w:t>.</w:t>
      </w:r>
      <w:r>
        <w:t xml:space="preserve">  </w:t>
      </w:r>
    </w:p>
    <w:p w14:paraId="118F6363" w14:textId="77777777" w:rsidR="00321E09" w:rsidRDefault="00321E09" w:rsidP="00082E39"/>
    <w:p w14:paraId="44E4780C" w14:textId="6859B55A" w:rsidR="00321E09" w:rsidRPr="00852320" w:rsidRDefault="00321E09" w:rsidP="004F6FF9">
      <w:pPr>
        <w:pStyle w:val="TableCaption"/>
        <w:keepNext/>
        <w:keepLines/>
        <w:rPr>
          <w:i/>
        </w:rPr>
      </w:pPr>
      <w:bookmarkStart w:id="102" w:name="_Toc415761876"/>
      <w:r w:rsidRPr="00852320">
        <w:lastRenderedPageBreak/>
        <w:t>Table 4.</w:t>
      </w:r>
      <w:r w:rsidR="00F02657" w:rsidRPr="00852320">
        <w:t>3</w:t>
      </w:r>
      <w:r w:rsidRPr="00852320">
        <w:t xml:space="preserve">: Average </w:t>
      </w:r>
      <w:r w:rsidR="00742A4F">
        <w:t>Event-</w:t>
      </w:r>
      <w:r w:rsidRPr="00852320">
        <w:t xml:space="preserve">Hour Load Impacts – PG&amp;E DBP, </w:t>
      </w:r>
      <w:r w:rsidRPr="00852320">
        <w:rPr>
          <w:i/>
        </w:rPr>
        <w:t>by Industry Group</w:t>
      </w:r>
      <w:bookmarkEnd w:id="1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1351"/>
        <w:gridCol w:w="1579"/>
        <w:gridCol w:w="1343"/>
        <w:gridCol w:w="1508"/>
        <w:gridCol w:w="806"/>
      </w:tblGrid>
      <w:tr w:rsidR="00321E09" w14:paraId="7EF5EE49" w14:textId="77777777" w:rsidTr="0005199B">
        <w:trPr>
          <w:jc w:val="center"/>
        </w:trPr>
        <w:tc>
          <w:tcPr>
            <w:tcW w:w="0" w:type="auto"/>
            <w:shd w:val="clear" w:color="auto" w:fill="D9E2F3"/>
            <w:vAlign w:val="center"/>
          </w:tcPr>
          <w:p w14:paraId="0BDE4F36"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shd w:val="clear" w:color="auto" w:fill="D9E2F3"/>
            <w:vAlign w:val="center"/>
          </w:tcPr>
          <w:p w14:paraId="6A917ED7" w14:textId="77777777" w:rsidR="00321E09" w:rsidRPr="007E0A27" w:rsidRDefault="002F29FA" w:rsidP="00F02657">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6ABBEF18"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46D068A0"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Observed Load (MW)</w:t>
            </w:r>
          </w:p>
        </w:tc>
        <w:tc>
          <w:tcPr>
            <w:tcW w:w="0" w:type="auto"/>
            <w:shd w:val="clear" w:color="auto" w:fill="D9E2F3"/>
            <w:vAlign w:val="center"/>
          </w:tcPr>
          <w:p w14:paraId="444A9419"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7C2051FA"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 LI</w:t>
            </w:r>
          </w:p>
        </w:tc>
      </w:tr>
      <w:tr w:rsidR="001F603C" w14:paraId="12438946" w14:textId="77777777" w:rsidTr="001F603C">
        <w:trPr>
          <w:jc w:val="center"/>
        </w:trPr>
        <w:tc>
          <w:tcPr>
            <w:tcW w:w="0" w:type="auto"/>
            <w:vAlign w:val="center"/>
          </w:tcPr>
          <w:p w14:paraId="3BC35A22"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5065AEAE" w14:textId="7D6370B2" w:rsidR="001F603C" w:rsidRPr="001F603C" w:rsidRDefault="001F603C" w:rsidP="001F603C">
            <w:pPr>
              <w:jc w:val="right"/>
              <w:rPr>
                <w:rFonts w:ascii="Arial" w:hAnsi="Arial" w:cs="Arial"/>
                <w:sz w:val="20"/>
                <w:szCs w:val="20"/>
              </w:rPr>
            </w:pPr>
            <w:r w:rsidRPr="001F603C">
              <w:rPr>
                <w:rFonts w:ascii="Arial" w:hAnsi="Arial" w:cs="Arial"/>
                <w:sz w:val="20"/>
                <w:szCs w:val="20"/>
              </w:rPr>
              <w:t>91</w:t>
            </w:r>
          </w:p>
        </w:tc>
        <w:tc>
          <w:tcPr>
            <w:tcW w:w="0" w:type="auto"/>
            <w:vAlign w:val="center"/>
          </w:tcPr>
          <w:p w14:paraId="67EB2B5D" w14:textId="4AA2EE38" w:rsidR="001F603C" w:rsidRPr="001F603C" w:rsidRDefault="001F603C" w:rsidP="001F603C">
            <w:pPr>
              <w:jc w:val="right"/>
              <w:rPr>
                <w:rFonts w:ascii="Arial" w:hAnsi="Arial" w:cs="Arial"/>
                <w:sz w:val="20"/>
                <w:szCs w:val="20"/>
              </w:rPr>
            </w:pPr>
            <w:r w:rsidRPr="001F603C">
              <w:rPr>
                <w:rFonts w:ascii="Arial" w:hAnsi="Arial" w:cs="Arial"/>
                <w:sz w:val="20"/>
                <w:szCs w:val="20"/>
              </w:rPr>
              <w:t>28.8</w:t>
            </w:r>
          </w:p>
        </w:tc>
        <w:tc>
          <w:tcPr>
            <w:tcW w:w="0" w:type="auto"/>
            <w:vAlign w:val="center"/>
          </w:tcPr>
          <w:p w14:paraId="43EB8D0A" w14:textId="1103A555" w:rsidR="001F603C" w:rsidRPr="001F603C" w:rsidRDefault="001F603C" w:rsidP="001F603C">
            <w:pPr>
              <w:jc w:val="right"/>
              <w:rPr>
                <w:rFonts w:ascii="Arial" w:hAnsi="Arial" w:cs="Arial"/>
                <w:sz w:val="20"/>
                <w:szCs w:val="20"/>
              </w:rPr>
            </w:pPr>
            <w:r w:rsidRPr="001F603C">
              <w:rPr>
                <w:rFonts w:ascii="Arial" w:hAnsi="Arial" w:cs="Arial"/>
                <w:sz w:val="20"/>
                <w:szCs w:val="20"/>
              </w:rPr>
              <w:t>28.9</w:t>
            </w:r>
          </w:p>
        </w:tc>
        <w:tc>
          <w:tcPr>
            <w:tcW w:w="0" w:type="auto"/>
            <w:vAlign w:val="center"/>
          </w:tcPr>
          <w:p w14:paraId="3E8E94F2" w14:textId="62E1E381" w:rsidR="001F603C" w:rsidRPr="001F603C" w:rsidRDefault="001F603C" w:rsidP="001F603C">
            <w:pPr>
              <w:jc w:val="right"/>
              <w:rPr>
                <w:rFonts w:ascii="Arial" w:hAnsi="Arial" w:cs="Arial"/>
                <w:sz w:val="20"/>
                <w:szCs w:val="20"/>
              </w:rPr>
            </w:pPr>
            <w:r w:rsidRPr="001F603C">
              <w:rPr>
                <w:rFonts w:ascii="Arial" w:hAnsi="Arial" w:cs="Arial"/>
                <w:sz w:val="20"/>
                <w:szCs w:val="20"/>
              </w:rPr>
              <w:t>-0.1</w:t>
            </w:r>
          </w:p>
        </w:tc>
        <w:tc>
          <w:tcPr>
            <w:tcW w:w="0" w:type="auto"/>
            <w:vAlign w:val="center"/>
          </w:tcPr>
          <w:p w14:paraId="7EF4D95C" w14:textId="23ADF34B" w:rsidR="001F603C" w:rsidRPr="001F603C" w:rsidRDefault="001F603C" w:rsidP="001F603C">
            <w:pPr>
              <w:jc w:val="right"/>
              <w:rPr>
                <w:rFonts w:ascii="Arial" w:hAnsi="Arial" w:cs="Arial"/>
                <w:sz w:val="20"/>
                <w:szCs w:val="20"/>
              </w:rPr>
            </w:pPr>
            <w:r>
              <w:rPr>
                <w:rFonts w:ascii="Arial" w:hAnsi="Arial" w:cs="Arial"/>
                <w:sz w:val="20"/>
                <w:szCs w:val="20"/>
              </w:rPr>
              <w:t>(</w:t>
            </w:r>
            <w:r w:rsidRPr="001F603C">
              <w:rPr>
                <w:rFonts w:ascii="Arial" w:hAnsi="Arial" w:cs="Arial"/>
                <w:sz w:val="20"/>
                <w:szCs w:val="20"/>
              </w:rPr>
              <w:t>0.4%</w:t>
            </w:r>
            <w:r>
              <w:rPr>
                <w:rFonts w:ascii="Arial" w:hAnsi="Arial" w:cs="Arial"/>
                <w:sz w:val="20"/>
                <w:szCs w:val="20"/>
              </w:rPr>
              <w:t>)</w:t>
            </w:r>
          </w:p>
        </w:tc>
      </w:tr>
      <w:tr w:rsidR="001F603C" w14:paraId="0D258DC2" w14:textId="77777777" w:rsidTr="001F603C">
        <w:trPr>
          <w:jc w:val="center"/>
        </w:trPr>
        <w:tc>
          <w:tcPr>
            <w:tcW w:w="0" w:type="auto"/>
            <w:vAlign w:val="center"/>
          </w:tcPr>
          <w:p w14:paraId="43F5F6CE"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4E0A1567" w14:textId="0FA1A9F7" w:rsidR="001F603C" w:rsidRPr="001F603C" w:rsidRDefault="001F603C" w:rsidP="001F603C">
            <w:pPr>
              <w:jc w:val="right"/>
              <w:rPr>
                <w:rFonts w:ascii="Arial" w:hAnsi="Arial" w:cs="Arial"/>
                <w:sz w:val="20"/>
                <w:szCs w:val="20"/>
              </w:rPr>
            </w:pPr>
            <w:r w:rsidRPr="001F603C">
              <w:rPr>
                <w:rFonts w:ascii="Arial" w:hAnsi="Arial" w:cs="Arial"/>
                <w:sz w:val="20"/>
                <w:szCs w:val="20"/>
              </w:rPr>
              <w:t>175</w:t>
            </w:r>
          </w:p>
        </w:tc>
        <w:tc>
          <w:tcPr>
            <w:tcW w:w="0" w:type="auto"/>
            <w:vAlign w:val="center"/>
          </w:tcPr>
          <w:p w14:paraId="73E3DEB7" w14:textId="49803804" w:rsidR="001F603C" w:rsidRPr="001F603C" w:rsidRDefault="001F603C" w:rsidP="001F603C">
            <w:pPr>
              <w:jc w:val="right"/>
              <w:rPr>
                <w:rFonts w:ascii="Arial" w:hAnsi="Arial" w:cs="Arial"/>
                <w:sz w:val="20"/>
                <w:szCs w:val="20"/>
              </w:rPr>
            </w:pPr>
            <w:r w:rsidRPr="001F603C">
              <w:rPr>
                <w:rFonts w:ascii="Arial" w:hAnsi="Arial" w:cs="Arial"/>
                <w:sz w:val="20"/>
                <w:szCs w:val="20"/>
              </w:rPr>
              <w:t>285.</w:t>
            </w:r>
            <w:r w:rsidR="00261E0A">
              <w:rPr>
                <w:rFonts w:ascii="Arial" w:hAnsi="Arial" w:cs="Arial"/>
                <w:sz w:val="20"/>
                <w:szCs w:val="20"/>
              </w:rPr>
              <w:t>2</w:t>
            </w:r>
          </w:p>
        </w:tc>
        <w:tc>
          <w:tcPr>
            <w:tcW w:w="0" w:type="auto"/>
            <w:vAlign w:val="center"/>
          </w:tcPr>
          <w:p w14:paraId="07E40B91" w14:textId="247CF0A8" w:rsidR="001F603C" w:rsidRPr="001F603C" w:rsidRDefault="001F603C" w:rsidP="001F603C">
            <w:pPr>
              <w:jc w:val="right"/>
              <w:rPr>
                <w:rFonts w:ascii="Arial" w:hAnsi="Arial" w:cs="Arial"/>
                <w:sz w:val="20"/>
                <w:szCs w:val="20"/>
              </w:rPr>
            </w:pPr>
            <w:r w:rsidRPr="001F603C">
              <w:rPr>
                <w:rFonts w:ascii="Arial" w:hAnsi="Arial" w:cs="Arial"/>
                <w:sz w:val="20"/>
                <w:szCs w:val="20"/>
              </w:rPr>
              <w:t>264.0</w:t>
            </w:r>
          </w:p>
        </w:tc>
        <w:tc>
          <w:tcPr>
            <w:tcW w:w="0" w:type="auto"/>
            <w:vAlign w:val="center"/>
          </w:tcPr>
          <w:p w14:paraId="529C8188" w14:textId="194795D1" w:rsidR="001F603C" w:rsidRPr="001F603C" w:rsidRDefault="001F603C" w:rsidP="00261E0A">
            <w:pPr>
              <w:jc w:val="right"/>
              <w:rPr>
                <w:rFonts w:ascii="Arial" w:hAnsi="Arial" w:cs="Arial"/>
                <w:sz w:val="20"/>
                <w:szCs w:val="20"/>
              </w:rPr>
            </w:pPr>
            <w:r w:rsidRPr="001F603C">
              <w:rPr>
                <w:rFonts w:ascii="Arial" w:hAnsi="Arial" w:cs="Arial"/>
                <w:sz w:val="20"/>
                <w:szCs w:val="20"/>
              </w:rPr>
              <w:t>21</w:t>
            </w:r>
            <w:r w:rsidR="00261E0A">
              <w:rPr>
                <w:rFonts w:ascii="Arial" w:hAnsi="Arial" w:cs="Arial"/>
                <w:sz w:val="20"/>
                <w:szCs w:val="20"/>
              </w:rPr>
              <w:t>.2</w:t>
            </w:r>
          </w:p>
        </w:tc>
        <w:tc>
          <w:tcPr>
            <w:tcW w:w="0" w:type="auto"/>
            <w:vAlign w:val="center"/>
          </w:tcPr>
          <w:p w14:paraId="59221FA9" w14:textId="2A2735AE" w:rsidR="001F603C" w:rsidRPr="001F603C" w:rsidRDefault="001F603C" w:rsidP="001F603C">
            <w:pPr>
              <w:jc w:val="right"/>
              <w:rPr>
                <w:rFonts w:ascii="Arial" w:hAnsi="Arial" w:cs="Arial"/>
                <w:sz w:val="20"/>
                <w:szCs w:val="20"/>
              </w:rPr>
            </w:pPr>
            <w:r w:rsidRPr="001F603C">
              <w:rPr>
                <w:rFonts w:ascii="Arial" w:hAnsi="Arial" w:cs="Arial"/>
                <w:sz w:val="20"/>
                <w:szCs w:val="20"/>
              </w:rPr>
              <w:t>7.4%</w:t>
            </w:r>
          </w:p>
        </w:tc>
      </w:tr>
      <w:tr w:rsidR="001F603C" w14:paraId="45B2319A" w14:textId="77777777" w:rsidTr="001F603C">
        <w:trPr>
          <w:jc w:val="center"/>
        </w:trPr>
        <w:tc>
          <w:tcPr>
            <w:tcW w:w="0" w:type="auto"/>
            <w:vAlign w:val="center"/>
          </w:tcPr>
          <w:p w14:paraId="74BC0C83"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6D38F0E7" w14:textId="53C0AC1C" w:rsidR="001F603C" w:rsidRPr="001F603C" w:rsidRDefault="001F603C" w:rsidP="001F603C">
            <w:pPr>
              <w:jc w:val="right"/>
              <w:rPr>
                <w:rFonts w:ascii="Arial" w:hAnsi="Arial" w:cs="Arial"/>
                <w:sz w:val="20"/>
                <w:szCs w:val="20"/>
              </w:rPr>
            </w:pPr>
            <w:r w:rsidRPr="001F603C">
              <w:rPr>
                <w:rFonts w:ascii="Arial" w:hAnsi="Arial" w:cs="Arial"/>
                <w:sz w:val="20"/>
                <w:szCs w:val="20"/>
              </w:rPr>
              <w:t>122</w:t>
            </w:r>
          </w:p>
        </w:tc>
        <w:tc>
          <w:tcPr>
            <w:tcW w:w="0" w:type="auto"/>
            <w:vAlign w:val="center"/>
          </w:tcPr>
          <w:p w14:paraId="3C7EBCBD" w14:textId="51575E13" w:rsidR="001F603C" w:rsidRPr="001F603C" w:rsidRDefault="001F603C" w:rsidP="001F603C">
            <w:pPr>
              <w:jc w:val="right"/>
              <w:rPr>
                <w:rFonts w:ascii="Arial" w:hAnsi="Arial" w:cs="Arial"/>
                <w:sz w:val="20"/>
                <w:szCs w:val="20"/>
              </w:rPr>
            </w:pPr>
            <w:r w:rsidRPr="001F603C">
              <w:rPr>
                <w:rFonts w:ascii="Arial" w:hAnsi="Arial" w:cs="Arial"/>
                <w:sz w:val="20"/>
                <w:szCs w:val="20"/>
              </w:rPr>
              <w:t>61.4</w:t>
            </w:r>
          </w:p>
        </w:tc>
        <w:tc>
          <w:tcPr>
            <w:tcW w:w="0" w:type="auto"/>
            <w:vAlign w:val="center"/>
          </w:tcPr>
          <w:p w14:paraId="651B6B03" w14:textId="457B54DB" w:rsidR="001F603C" w:rsidRPr="001F603C" w:rsidRDefault="001F603C" w:rsidP="001F603C">
            <w:pPr>
              <w:jc w:val="right"/>
              <w:rPr>
                <w:rFonts w:ascii="Arial" w:hAnsi="Arial" w:cs="Arial"/>
                <w:sz w:val="20"/>
                <w:szCs w:val="20"/>
              </w:rPr>
            </w:pPr>
            <w:r w:rsidRPr="001F603C">
              <w:rPr>
                <w:rFonts w:ascii="Arial" w:hAnsi="Arial" w:cs="Arial"/>
                <w:sz w:val="20"/>
                <w:szCs w:val="20"/>
              </w:rPr>
              <w:t>59.1</w:t>
            </w:r>
          </w:p>
        </w:tc>
        <w:tc>
          <w:tcPr>
            <w:tcW w:w="0" w:type="auto"/>
            <w:vAlign w:val="center"/>
          </w:tcPr>
          <w:p w14:paraId="67E52F73" w14:textId="0BC56D03" w:rsidR="001F603C" w:rsidRPr="001F603C" w:rsidRDefault="001F603C" w:rsidP="001F603C">
            <w:pPr>
              <w:jc w:val="right"/>
              <w:rPr>
                <w:rFonts w:ascii="Arial" w:hAnsi="Arial" w:cs="Arial"/>
                <w:sz w:val="20"/>
                <w:szCs w:val="20"/>
              </w:rPr>
            </w:pPr>
            <w:r w:rsidRPr="001F603C">
              <w:rPr>
                <w:rFonts w:ascii="Arial" w:hAnsi="Arial" w:cs="Arial"/>
                <w:sz w:val="20"/>
                <w:szCs w:val="20"/>
              </w:rPr>
              <w:t>2.2</w:t>
            </w:r>
          </w:p>
        </w:tc>
        <w:tc>
          <w:tcPr>
            <w:tcW w:w="0" w:type="auto"/>
            <w:vAlign w:val="center"/>
          </w:tcPr>
          <w:p w14:paraId="5E5A350E" w14:textId="33F21BE5" w:rsidR="001F603C" w:rsidRPr="001F603C" w:rsidRDefault="001F603C" w:rsidP="001F603C">
            <w:pPr>
              <w:jc w:val="right"/>
              <w:rPr>
                <w:rFonts w:ascii="Arial" w:hAnsi="Arial" w:cs="Arial"/>
                <w:sz w:val="20"/>
                <w:szCs w:val="20"/>
              </w:rPr>
            </w:pPr>
            <w:r w:rsidRPr="001F603C">
              <w:rPr>
                <w:rFonts w:ascii="Arial" w:hAnsi="Arial" w:cs="Arial"/>
                <w:sz w:val="20"/>
                <w:szCs w:val="20"/>
              </w:rPr>
              <w:t>3.6%</w:t>
            </w:r>
          </w:p>
        </w:tc>
      </w:tr>
      <w:tr w:rsidR="001F603C" w14:paraId="642EA261" w14:textId="77777777" w:rsidTr="001F603C">
        <w:trPr>
          <w:jc w:val="center"/>
        </w:trPr>
        <w:tc>
          <w:tcPr>
            <w:tcW w:w="0" w:type="auto"/>
            <w:vAlign w:val="center"/>
          </w:tcPr>
          <w:p w14:paraId="6025C0C7"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23617859" w14:textId="2431DDC4" w:rsidR="001F603C" w:rsidRPr="001F603C" w:rsidRDefault="001F603C" w:rsidP="001F603C">
            <w:pPr>
              <w:jc w:val="right"/>
              <w:rPr>
                <w:rFonts w:ascii="Arial" w:hAnsi="Arial" w:cs="Arial"/>
                <w:sz w:val="20"/>
                <w:szCs w:val="20"/>
              </w:rPr>
            </w:pPr>
            <w:r w:rsidRPr="001F603C">
              <w:rPr>
                <w:rFonts w:ascii="Arial" w:hAnsi="Arial" w:cs="Arial"/>
                <w:sz w:val="20"/>
                <w:szCs w:val="20"/>
              </w:rPr>
              <w:t>82</w:t>
            </w:r>
          </w:p>
        </w:tc>
        <w:tc>
          <w:tcPr>
            <w:tcW w:w="0" w:type="auto"/>
            <w:vAlign w:val="center"/>
          </w:tcPr>
          <w:p w14:paraId="6D52B0F1" w14:textId="59817051" w:rsidR="001F603C" w:rsidRPr="001F603C" w:rsidRDefault="001F603C" w:rsidP="001F603C">
            <w:pPr>
              <w:jc w:val="right"/>
              <w:rPr>
                <w:rFonts w:ascii="Arial" w:hAnsi="Arial" w:cs="Arial"/>
                <w:sz w:val="20"/>
                <w:szCs w:val="20"/>
              </w:rPr>
            </w:pPr>
            <w:r w:rsidRPr="001F603C">
              <w:rPr>
                <w:rFonts w:ascii="Arial" w:hAnsi="Arial" w:cs="Arial"/>
                <w:sz w:val="20"/>
                <w:szCs w:val="20"/>
              </w:rPr>
              <w:t>12.1</w:t>
            </w:r>
          </w:p>
        </w:tc>
        <w:tc>
          <w:tcPr>
            <w:tcW w:w="0" w:type="auto"/>
            <w:vAlign w:val="center"/>
          </w:tcPr>
          <w:p w14:paraId="185AF9C0" w14:textId="119C1DC3" w:rsidR="001F603C" w:rsidRPr="001F603C" w:rsidRDefault="001F603C" w:rsidP="001F603C">
            <w:pPr>
              <w:jc w:val="right"/>
              <w:rPr>
                <w:rFonts w:ascii="Arial" w:hAnsi="Arial" w:cs="Arial"/>
                <w:sz w:val="20"/>
                <w:szCs w:val="20"/>
              </w:rPr>
            </w:pPr>
            <w:r w:rsidRPr="001F603C">
              <w:rPr>
                <w:rFonts w:ascii="Arial" w:hAnsi="Arial" w:cs="Arial"/>
                <w:sz w:val="20"/>
                <w:szCs w:val="20"/>
              </w:rPr>
              <w:t>12.1</w:t>
            </w:r>
          </w:p>
        </w:tc>
        <w:tc>
          <w:tcPr>
            <w:tcW w:w="0" w:type="auto"/>
            <w:vAlign w:val="center"/>
          </w:tcPr>
          <w:p w14:paraId="752BF950" w14:textId="6C937C5C" w:rsidR="001F603C" w:rsidRPr="001F603C" w:rsidRDefault="001F603C" w:rsidP="001F603C">
            <w:pPr>
              <w:jc w:val="right"/>
              <w:rPr>
                <w:rFonts w:ascii="Arial" w:hAnsi="Arial" w:cs="Arial"/>
                <w:sz w:val="20"/>
                <w:szCs w:val="20"/>
              </w:rPr>
            </w:pPr>
            <w:r w:rsidRPr="001F603C">
              <w:rPr>
                <w:rFonts w:ascii="Arial" w:hAnsi="Arial" w:cs="Arial"/>
                <w:sz w:val="20"/>
                <w:szCs w:val="20"/>
              </w:rPr>
              <w:t>0.0</w:t>
            </w:r>
          </w:p>
        </w:tc>
        <w:tc>
          <w:tcPr>
            <w:tcW w:w="0" w:type="auto"/>
            <w:vAlign w:val="center"/>
          </w:tcPr>
          <w:p w14:paraId="3308659A" w14:textId="11D22689" w:rsidR="001F603C" w:rsidRPr="001F603C" w:rsidRDefault="001F603C" w:rsidP="001F603C">
            <w:pPr>
              <w:jc w:val="right"/>
              <w:rPr>
                <w:rFonts w:ascii="Arial" w:hAnsi="Arial" w:cs="Arial"/>
                <w:sz w:val="20"/>
                <w:szCs w:val="20"/>
              </w:rPr>
            </w:pPr>
            <w:r w:rsidRPr="001F603C">
              <w:rPr>
                <w:rFonts w:ascii="Arial" w:hAnsi="Arial" w:cs="Arial"/>
                <w:sz w:val="20"/>
                <w:szCs w:val="20"/>
              </w:rPr>
              <w:t>0.2%</w:t>
            </w:r>
          </w:p>
        </w:tc>
      </w:tr>
      <w:tr w:rsidR="001F603C" w14:paraId="2720DC6A" w14:textId="77777777" w:rsidTr="001F603C">
        <w:trPr>
          <w:jc w:val="center"/>
        </w:trPr>
        <w:tc>
          <w:tcPr>
            <w:tcW w:w="0" w:type="auto"/>
            <w:vAlign w:val="center"/>
          </w:tcPr>
          <w:p w14:paraId="6C18507B"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Offices, Hotels, Health, Services</w:t>
            </w:r>
          </w:p>
        </w:tc>
        <w:tc>
          <w:tcPr>
            <w:tcW w:w="0" w:type="auto"/>
            <w:vAlign w:val="center"/>
          </w:tcPr>
          <w:p w14:paraId="7BD47870" w14:textId="6514EF3E" w:rsidR="001F603C" w:rsidRPr="001F603C" w:rsidRDefault="001F603C" w:rsidP="001F603C">
            <w:pPr>
              <w:jc w:val="right"/>
              <w:rPr>
                <w:rFonts w:ascii="Arial" w:hAnsi="Arial" w:cs="Arial"/>
                <w:sz w:val="20"/>
                <w:szCs w:val="20"/>
              </w:rPr>
            </w:pPr>
            <w:r w:rsidRPr="001F603C">
              <w:rPr>
                <w:rFonts w:ascii="Arial" w:hAnsi="Arial" w:cs="Arial"/>
                <w:sz w:val="20"/>
                <w:szCs w:val="20"/>
              </w:rPr>
              <w:t>250</w:t>
            </w:r>
          </w:p>
        </w:tc>
        <w:tc>
          <w:tcPr>
            <w:tcW w:w="0" w:type="auto"/>
            <w:vAlign w:val="center"/>
          </w:tcPr>
          <w:p w14:paraId="211D6756" w14:textId="62EF87F3" w:rsidR="001F603C" w:rsidRPr="001F603C" w:rsidRDefault="001F603C" w:rsidP="001F603C">
            <w:pPr>
              <w:jc w:val="right"/>
              <w:rPr>
                <w:rFonts w:ascii="Arial" w:hAnsi="Arial" w:cs="Arial"/>
                <w:sz w:val="20"/>
                <w:szCs w:val="20"/>
              </w:rPr>
            </w:pPr>
            <w:r w:rsidRPr="001F603C">
              <w:rPr>
                <w:rFonts w:ascii="Arial" w:hAnsi="Arial" w:cs="Arial"/>
                <w:sz w:val="20"/>
                <w:szCs w:val="20"/>
              </w:rPr>
              <w:t>177.1</w:t>
            </w:r>
          </w:p>
        </w:tc>
        <w:tc>
          <w:tcPr>
            <w:tcW w:w="0" w:type="auto"/>
            <w:vAlign w:val="center"/>
          </w:tcPr>
          <w:p w14:paraId="00121175" w14:textId="0BF2EABE" w:rsidR="001F603C" w:rsidRPr="001F603C" w:rsidRDefault="001F603C" w:rsidP="001F603C">
            <w:pPr>
              <w:jc w:val="right"/>
              <w:rPr>
                <w:rFonts w:ascii="Arial" w:hAnsi="Arial" w:cs="Arial"/>
                <w:sz w:val="20"/>
                <w:szCs w:val="20"/>
              </w:rPr>
            </w:pPr>
            <w:r w:rsidRPr="001F603C">
              <w:rPr>
                <w:rFonts w:ascii="Arial" w:hAnsi="Arial" w:cs="Arial"/>
                <w:sz w:val="20"/>
                <w:szCs w:val="20"/>
              </w:rPr>
              <w:t>176.0</w:t>
            </w:r>
          </w:p>
        </w:tc>
        <w:tc>
          <w:tcPr>
            <w:tcW w:w="0" w:type="auto"/>
            <w:vAlign w:val="center"/>
          </w:tcPr>
          <w:p w14:paraId="5034665B" w14:textId="662F5E1D" w:rsidR="001F603C" w:rsidRPr="001F603C" w:rsidRDefault="001F603C" w:rsidP="001F603C">
            <w:pPr>
              <w:jc w:val="right"/>
              <w:rPr>
                <w:rFonts w:ascii="Arial" w:hAnsi="Arial" w:cs="Arial"/>
                <w:sz w:val="20"/>
                <w:szCs w:val="20"/>
              </w:rPr>
            </w:pPr>
            <w:r w:rsidRPr="001F603C">
              <w:rPr>
                <w:rFonts w:ascii="Arial" w:hAnsi="Arial" w:cs="Arial"/>
                <w:sz w:val="20"/>
                <w:szCs w:val="20"/>
              </w:rPr>
              <w:t>1.1</w:t>
            </w:r>
          </w:p>
        </w:tc>
        <w:tc>
          <w:tcPr>
            <w:tcW w:w="0" w:type="auto"/>
            <w:vAlign w:val="center"/>
          </w:tcPr>
          <w:p w14:paraId="05479B63" w14:textId="59287547" w:rsidR="001F603C" w:rsidRPr="001F603C" w:rsidRDefault="001F603C" w:rsidP="001F603C">
            <w:pPr>
              <w:jc w:val="right"/>
              <w:rPr>
                <w:rFonts w:ascii="Arial" w:hAnsi="Arial" w:cs="Arial"/>
                <w:sz w:val="20"/>
                <w:szCs w:val="20"/>
              </w:rPr>
            </w:pPr>
            <w:r w:rsidRPr="001F603C">
              <w:rPr>
                <w:rFonts w:ascii="Arial" w:hAnsi="Arial" w:cs="Arial"/>
                <w:sz w:val="20"/>
                <w:szCs w:val="20"/>
              </w:rPr>
              <w:t>0.6%</w:t>
            </w:r>
          </w:p>
        </w:tc>
      </w:tr>
      <w:tr w:rsidR="001F603C" w14:paraId="0E2B9A9B" w14:textId="77777777" w:rsidTr="001F603C">
        <w:trPr>
          <w:jc w:val="center"/>
        </w:trPr>
        <w:tc>
          <w:tcPr>
            <w:tcW w:w="0" w:type="auto"/>
            <w:vAlign w:val="center"/>
          </w:tcPr>
          <w:p w14:paraId="32B491DF"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Schools</w:t>
            </w:r>
          </w:p>
        </w:tc>
        <w:tc>
          <w:tcPr>
            <w:tcW w:w="0" w:type="auto"/>
            <w:vAlign w:val="center"/>
          </w:tcPr>
          <w:p w14:paraId="544CD6CD" w14:textId="1B62E760" w:rsidR="001F603C" w:rsidRPr="001F603C" w:rsidRDefault="001F603C" w:rsidP="001F603C">
            <w:pPr>
              <w:jc w:val="right"/>
              <w:rPr>
                <w:rFonts w:ascii="Arial" w:hAnsi="Arial" w:cs="Arial"/>
                <w:sz w:val="20"/>
                <w:szCs w:val="20"/>
              </w:rPr>
            </w:pPr>
            <w:r w:rsidRPr="001F603C">
              <w:rPr>
                <w:rFonts w:ascii="Arial" w:hAnsi="Arial" w:cs="Arial"/>
                <w:sz w:val="20"/>
                <w:szCs w:val="20"/>
              </w:rPr>
              <w:t>26</w:t>
            </w:r>
          </w:p>
        </w:tc>
        <w:tc>
          <w:tcPr>
            <w:tcW w:w="0" w:type="auto"/>
            <w:vAlign w:val="center"/>
          </w:tcPr>
          <w:p w14:paraId="22D9588E" w14:textId="5BC5E772" w:rsidR="001F603C" w:rsidRPr="001F603C" w:rsidRDefault="001F603C" w:rsidP="001F603C">
            <w:pPr>
              <w:jc w:val="right"/>
              <w:rPr>
                <w:rFonts w:ascii="Arial" w:hAnsi="Arial" w:cs="Arial"/>
                <w:sz w:val="20"/>
                <w:szCs w:val="20"/>
              </w:rPr>
            </w:pPr>
            <w:r w:rsidRPr="001F603C">
              <w:rPr>
                <w:rFonts w:ascii="Arial" w:hAnsi="Arial" w:cs="Arial"/>
                <w:sz w:val="20"/>
                <w:szCs w:val="20"/>
              </w:rPr>
              <w:t>16.3</w:t>
            </w:r>
          </w:p>
        </w:tc>
        <w:tc>
          <w:tcPr>
            <w:tcW w:w="0" w:type="auto"/>
            <w:vAlign w:val="center"/>
          </w:tcPr>
          <w:p w14:paraId="07271083" w14:textId="69CDDC3D" w:rsidR="001F603C" w:rsidRPr="001F603C" w:rsidRDefault="001F603C" w:rsidP="001F603C">
            <w:pPr>
              <w:jc w:val="right"/>
              <w:rPr>
                <w:rFonts w:ascii="Arial" w:hAnsi="Arial" w:cs="Arial"/>
                <w:sz w:val="20"/>
                <w:szCs w:val="20"/>
              </w:rPr>
            </w:pPr>
            <w:r w:rsidRPr="001F603C">
              <w:rPr>
                <w:rFonts w:ascii="Arial" w:hAnsi="Arial" w:cs="Arial"/>
                <w:sz w:val="20"/>
                <w:szCs w:val="20"/>
              </w:rPr>
              <w:t>16.2</w:t>
            </w:r>
          </w:p>
        </w:tc>
        <w:tc>
          <w:tcPr>
            <w:tcW w:w="0" w:type="auto"/>
            <w:vAlign w:val="center"/>
          </w:tcPr>
          <w:p w14:paraId="00B12BAA" w14:textId="6C637EC6" w:rsidR="001F603C" w:rsidRPr="001F603C" w:rsidRDefault="001F603C" w:rsidP="001F603C">
            <w:pPr>
              <w:jc w:val="right"/>
              <w:rPr>
                <w:rFonts w:ascii="Arial" w:hAnsi="Arial" w:cs="Arial"/>
                <w:sz w:val="20"/>
                <w:szCs w:val="20"/>
              </w:rPr>
            </w:pPr>
            <w:r w:rsidRPr="001F603C">
              <w:rPr>
                <w:rFonts w:ascii="Arial" w:hAnsi="Arial" w:cs="Arial"/>
                <w:sz w:val="20"/>
                <w:szCs w:val="20"/>
              </w:rPr>
              <w:t>0.1</w:t>
            </w:r>
          </w:p>
        </w:tc>
        <w:tc>
          <w:tcPr>
            <w:tcW w:w="0" w:type="auto"/>
            <w:vAlign w:val="center"/>
          </w:tcPr>
          <w:p w14:paraId="27E4C378" w14:textId="5F8BF0AE" w:rsidR="001F603C" w:rsidRPr="001F603C" w:rsidRDefault="001F603C" w:rsidP="001F603C">
            <w:pPr>
              <w:jc w:val="right"/>
              <w:rPr>
                <w:rFonts w:ascii="Arial" w:hAnsi="Arial" w:cs="Arial"/>
                <w:sz w:val="20"/>
                <w:szCs w:val="20"/>
              </w:rPr>
            </w:pPr>
            <w:r w:rsidRPr="001F603C">
              <w:rPr>
                <w:rFonts w:ascii="Arial" w:hAnsi="Arial" w:cs="Arial"/>
                <w:sz w:val="20"/>
                <w:szCs w:val="20"/>
              </w:rPr>
              <w:t>0.4%</w:t>
            </w:r>
          </w:p>
        </w:tc>
      </w:tr>
      <w:tr w:rsidR="001F603C" w14:paraId="425B86A5" w14:textId="77777777" w:rsidTr="001F603C">
        <w:trPr>
          <w:jc w:val="center"/>
        </w:trPr>
        <w:tc>
          <w:tcPr>
            <w:tcW w:w="0" w:type="auto"/>
            <w:vAlign w:val="center"/>
          </w:tcPr>
          <w:p w14:paraId="39D6DA47"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Entertainment, Other Services, Government</w:t>
            </w:r>
          </w:p>
        </w:tc>
        <w:tc>
          <w:tcPr>
            <w:tcW w:w="0" w:type="auto"/>
            <w:vAlign w:val="center"/>
          </w:tcPr>
          <w:p w14:paraId="0280AD33" w14:textId="27084F86" w:rsidR="001F603C" w:rsidRPr="001F603C" w:rsidRDefault="001F603C" w:rsidP="001F603C">
            <w:pPr>
              <w:jc w:val="right"/>
              <w:rPr>
                <w:rFonts w:ascii="Arial" w:hAnsi="Arial" w:cs="Arial"/>
                <w:sz w:val="20"/>
                <w:szCs w:val="20"/>
              </w:rPr>
            </w:pPr>
            <w:r w:rsidRPr="001F603C">
              <w:rPr>
                <w:rFonts w:ascii="Arial" w:hAnsi="Arial" w:cs="Arial"/>
                <w:sz w:val="20"/>
                <w:szCs w:val="20"/>
              </w:rPr>
              <w:t>100</w:t>
            </w:r>
          </w:p>
        </w:tc>
        <w:tc>
          <w:tcPr>
            <w:tcW w:w="0" w:type="auto"/>
            <w:vAlign w:val="center"/>
          </w:tcPr>
          <w:p w14:paraId="1D813FC4" w14:textId="0D8453B2" w:rsidR="001F603C" w:rsidRPr="001F603C" w:rsidRDefault="001F603C" w:rsidP="001F603C">
            <w:pPr>
              <w:jc w:val="right"/>
              <w:rPr>
                <w:rFonts w:ascii="Arial" w:hAnsi="Arial" w:cs="Arial"/>
                <w:sz w:val="20"/>
                <w:szCs w:val="20"/>
              </w:rPr>
            </w:pPr>
            <w:r w:rsidRPr="001F603C">
              <w:rPr>
                <w:rFonts w:ascii="Arial" w:hAnsi="Arial" w:cs="Arial"/>
                <w:sz w:val="20"/>
                <w:szCs w:val="20"/>
              </w:rPr>
              <w:t>68.5</w:t>
            </w:r>
          </w:p>
        </w:tc>
        <w:tc>
          <w:tcPr>
            <w:tcW w:w="0" w:type="auto"/>
            <w:vAlign w:val="center"/>
          </w:tcPr>
          <w:p w14:paraId="02780B90" w14:textId="0E41C56E" w:rsidR="001F603C" w:rsidRPr="001F603C" w:rsidRDefault="001F603C" w:rsidP="001F603C">
            <w:pPr>
              <w:jc w:val="right"/>
              <w:rPr>
                <w:rFonts w:ascii="Arial" w:hAnsi="Arial" w:cs="Arial"/>
                <w:sz w:val="20"/>
                <w:szCs w:val="20"/>
              </w:rPr>
            </w:pPr>
            <w:r w:rsidRPr="001F603C">
              <w:rPr>
                <w:rFonts w:ascii="Arial" w:hAnsi="Arial" w:cs="Arial"/>
                <w:sz w:val="20"/>
                <w:szCs w:val="20"/>
              </w:rPr>
              <w:t>68.0</w:t>
            </w:r>
          </w:p>
        </w:tc>
        <w:tc>
          <w:tcPr>
            <w:tcW w:w="0" w:type="auto"/>
            <w:vAlign w:val="center"/>
          </w:tcPr>
          <w:p w14:paraId="5260571F" w14:textId="076F9BB6" w:rsidR="001F603C" w:rsidRPr="001F603C" w:rsidRDefault="001F603C" w:rsidP="001F603C">
            <w:pPr>
              <w:jc w:val="right"/>
              <w:rPr>
                <w:rFonts w:ascii="Arial" w:hAnsi="Arial" w:cs="Arial"/>
                <w:sz w:val="20"/>
                <w:szCs w:val="20"/>
              </w:rPr>
            </w:pPr>
            <w:r w:rsidRPr="001F603C">
              <w:rPr>
                <w:rFonts w:ascii="Arial" w:hAnsi="Arial" w:cs="Arial"/>
                <w:sz w:val="20"/>
                <w:szCs w:val="20"/>
              </w:rPr>
              <w:t>0.4</w:t>
            </w:r>
          </w:p>
        </w:tc>
        <w:tc>
          <w:tcPr>
            <w:tcW w:w="0" w:type="auto"/>
            <w:vAlign w:val="center"/>
          </w:tcPr>
          <w:p w14:paraId="54FB28DD" w14:textId="4BB9BDD8" w:rsidR="001F603C" w:rsidRPr="001F603C" w:rsidRDefault="001F603C" w:rsidP="001F603C">
            <w:pPr>
              <w:jc w:val="right"/>
              <w:rPr>
                <w:rFonts w:ascii="Arial" w:hAnsi="Arial" w:cs="Arial"/>
                <w:sz w:val="20"/>
                <w:szCs w:val="20"/>
              </w:rPr>
            </w:pPr>
            <w:r w:rsidRPr="001F603C">
              <w:rPr>
                <w:rFonts w:ascii="Arial" w:hAnsi="Arial" w:cs="Arial"/>
                <w:sz w:val="20"/>
                <w:szCs w:val="20"/>
              </w:rPr>
              <w:t>0.6%</w:t>
            </w:r>
          </w:p>
        </w:tc>
      </w:tr>
      <w:tr w:rsidR="001F603C" w14:paraId="3A523436" w14:textId="77777777" w:rsidTr="001F603C">
        <w:trPr>
          <w:jc w:val="center"/>
        </w:trPr>
        <w:tc>
          <w:tcPr>
            <w:tcW w:w="0" w:type="auto"/>
            <w:vAlign w:val="center"/>
          </w:tcPr>
          <w:p w14:paraId="4C49320C" w14:textId="77777777" w:rsidR="001F603C" w:rsidRPr="007E0A27" w:rsidRDefault="001F603C" w:rsidP="001F603C">
            <w:pPr>
              <w:keepNext/>
              <w:keepLines/>
              <w:rPr>
                <w:rFonts w:ascii="Arial" w:hAnsi="Arial" w:cs="Arial"/>
                <w:sz w:val="20"/>
                <w:szCs w:val="20"/>
              </w:rPr>
            </w:pPr>
            <w:r w:rsidRPr="007E0A27">
              <w:rPr>
                <w:rFonts w:ascii="Arial" w:hAnsi="Arial" w:cs="Arial"/>
                <w:sz w:val="20"/>
                <w:szCs w:val="20"/>
              </w:rPr>
              <w:t>Other or Unknown</w:t>
            </w:r>
          </w:p>
        </w:tc>
        <w:tc>
          <w:tcPr>
            <w:tcW w:w="0" w:type="auto"/>
            <w:vAlign w:val="center"/>
          </w:tcPr>
          <w:p w14:paraId="2F11C27D" w14:textId="487F4D85" w:rsidR="001F603C" w:rsidRPr="001F603C" w:rsidRDefault="001F603C" w:rsidP="001F603C">
            <w:pPr>
              <w:jc w:val="right"/>
              <w:rPr>
                <w:rFonts w:ascii="Arial" w:hAnsi="Arial" w:cs="Arial"/>
                <w:sz w:val="20"/>
                <w:szCs w:val="20"/>
              </w:rPr>
            </w:pPr>
            <w:r w:rsidRPr="001F603C">
              <w:rPr>
                <w:rFonts w:ascii="Arial" w:hAnsi="Arial" w:cs="Arial"/>
                <w:sz w:val="20"/>
                <w:szCs w:val="20"/>
              </w:rPr>
              <w:t>1</w:t>
            </w:r>
          </w:p>
        </w:tc>
        <w:tc>
          <w:tcPr>
            <w:tcW w:w="0" w:type="auto"/>
            <w:vAlign w:val="center"/>
          </w:tcPr>
          <w:p w14:paraId="575EFDDD" w14:textId="2D109D5F" w:rsidR="001F603C" w:rsidRPr="001F603C" w:rsidRDefault="001F603C" w:rsidP="001F603C">
            <w:pPr>
              <w:jc w:val="right"/>
              <w:rPr>
                <w:rFonts w:ascii="Arial" w:hAnsi="Arial" w:cs="Arial"/>
                <w:sz w:val="20"/>
                <w:szCs w:val="20"/>
              </w:rPr>
            </w:pPr>
            <w:r w:rsidRPr="001F603C">
              <w:rPr>
                <w:rFonts w:ascii="Arial" w:hAnsi="Arial" w:cs="Arial"/>
                <w:sz w:val="20"/>
                <w:szCs w:val="20"/>
              </w:rPr>
              <w:t>1.1</w:t>
            </w:r>
          </w:p>
        </w:tc>
        <w:tc>
          <w:tcPr>
            <w:tcW w:w="0" w:type="auto"/>
            <w:vAlign w:val="center"/>
          </w:tcPr>
          <w:p w14:paraId="723DF9EC" w14:textId="3ECE1809" w:rsidR="001F603C" w:rsidRPr="001F603C" w:rsidRDefault="001F603C" w:rsidP="001F603C">
            <w:pPr>
              <w:jc w:val="right"/>
              <w:rPr>
                <w:rFonts w:ascii="Arial" w:hAnsi="Arial" w:cs="Arial"/>
                <w:sz w:val="20"/>
                <w:szCs w:val="20"/>
              </w:rPr>
            </w:pPr>
            <w:r w:rsidRPr="001F603C">
              <w:rPr>
                <w:rFonts w:ascii="Arial" w:hAnsi="Arial" w:cs="Arial"/>
                <w:sz w:val="20"/>
                <w:szCs w:val="20"/>
              </w:rPr>
              <w:t>1.1</w:t>
            </w:r>
          </w:p>
        </w:tc>
        <w:tc>
          <w:tcPr>
            <w:tcW w:w="0" w:type="auto"/>
            <w:vAlign w:val="center"/>
          </w:tcPr>
          <w:p w14:paraId="4EA9CF7D" w14:textId="6AF55B99" w:rsidR="001F603C" w:rsidRPr="001F603C" w:rsidRDefault="001F603C" w:rsidP="001F603C">
            <w:pPr>
              <w:jc w:val="right"/>
              <w:rPr>
                <w:rFonts w:ascii="Arial" w:hAnsi="Arial" w:cs="Arial"/>
                <w:sz w:val="20"/>
                <w:szCs w:val="20"/>
              </w:rPr>
            </w:pPr>
            <w:r w:rsidRPr="001F603C">
              <w:rPr>
                <w:rFonts w:ascii="Arial" w:hAnsi="Arial" w:cs="Arial"/>
                <w:sz w:val="20"/>
                <w:szCs w:val="20"/>
              </w:rPr>
              <w:t>0.0</w:t>
            </w:r>
          </w:p>
        </w:tc>
        <w:tc>
          <w:tcPr>
            <w:tcW w:w="0" w:type="auto"/>
            <w:vAlign w:val="center"/>
          </w:tcPr>
          <w:p w14:paraId="6389D8E2" w14:textId="50113E94" w:rsidR="001F603C" w:rsidRPr="001F603C" w:rsidRDefault="001F603C" w:rsidP="001F603C">
            <w:pPr>
              <w:jc w:val="right"/>
              <w:rPr>
                <w:rFonts w:ascii="Arial" w:hAnsi="Arial" w:cs="Arial"/>
                <w:sz w:val="20"/>
                <w:szCs w:val="20"/>
              </w:rPr>
            </w:pPr>
            <w:r w:rsidRPr="001F603C">
              <w:rPr>
                <w:rFonts w:ascii="Arial" w:hAnsi="Arial" w:cs="Arial"/>
                <w:sz w:val="20"/>
                <w:szCs w:val="20"/>
              </w:rPr>
              <w:t>0.0%</w:t>
            </w:r>
          </w:p>
        </w:tc>
      </w:tr>
      <w:tr w:rsidR="001F603C" w14:paraId="54B8AA88" w14:textId="77777777" w:rsidTr="001F603C">
        <w:trPr>
          <w:jc w:val="center"/>
        </w:trPr>
        <w:tc>
          <w:tcPr>
            <w:tcW w:w="0" w:type="auto"/>
          </w:tcPr>
          <w:p w14:paraId="7EA9DAD9" w14:textId="77777777" w:rsidR="001F603C" w:rsidRPr="007E0A27" w:rsidRDefault="001F603C" w:rsidP="001F603C">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553DB1DD" w14:textId="69E084FB" w:rsidR="001F603C" w:rsidRPr="001F603C" w:rsidRDefault="001F603C" w:rsidP="001F603C">
            <w:pPr>
              <w:jc w:val="right"/>
              <w:rPr>
                <w:rFonts w:ascii="Arial" w:hAnsi="Arial" w:cs="Arial"/>
                <w:b/>
                <w:sz w:val="20"/>
                <w:szCs w:val="20"/>
              </w:rPr>
            </w:pPr>
            <w:r w:rsidRPr="001F603C">
              <w:rPr>
                <w:rFonts w:ascii="Arial" w:hAnsi="Arial" w:cs="Arial"/>
                <w:b/>
                <w:sz w:val="20"/>
                <w:szCs w:val="20"/>
              </w:rPr>
              <w:t>846</w:t>
            </w:r>
          </w:p>
        </w:tc>
        <w:tc>
          <w:tcPr>
            <w:tcW w:w="0" w:type="auto"/>
            <w:vAlign w:val="center"/>
          </w:tcPr>
          <w:p w14:paraId="3ADD4F04" w14:textId="154D2B34" w:rsidR="001F603C" w:rsidRPr="001F603C" w:rsidRDefault="001F603C" w:rsidP="001F603C">
            <w:pPr>
              <w:jc w:val="right"/>
              <w:rPr>
                <w:rFonts w:ascii="Arial" w:hAnsi="Arial" w:cs="Arial"/>
                <w:b/>
                <w:sz w:val="20"/>
                <w:szCs w:val="20"/>
              </w:rPr>
            </w:pPr>
            <w:r w:rsidRPr="001F603C">
              <w:rPr>
                <w:rFonts w:ascii="Arial" w:hAnsi="Arial" w:cs="Arial"/>
                <w:b/>
                <w:sz w:val="20"/>
                <w:szCs w:val="20"/>
              </w:rPr>
              <w:t>650.</w:t>
            </w:r>
            <w:r w:rsidR="00261E0A">
              <w:rPr>
                <w:rFonts w:ascii="Arial" w:hAnsi="Arial" w:cs="Arial"/>
                <w:b/>
                <w:sz w:val="20"/>
                <w:szCs w:val="20"/>
              </w:rPr>
              <w:t>5</w:t>
            </w:r>
          </w:p>
        </w:tc>
        <w:tc>
          <w:tcPr>
            <w:tcW w:w="0" w:type="auto"/>
            <w:vAlign w:val="center"/>
          </w:tcPr>
          <w:p w14:paraId="572D1D3A" w14:textId="3CEF8EE7" w:rsidR="001F603C" w:rsidRPr="001F603C" w:rsidRDefault="001F603C" w:rsidP="001F603C">
            <w:pPr>
              <w:jc w:val="right"/>
              <w:rPr>
                <w:rFonts w:ascii="Arial" w:hAnsi="Arial" w:cs="Arial"/>
                <w:b/>
                <w:sz w:val="20"/>
                <w:szCs w:val="20"/>
              </w:rPr>
            </w:pPr>
            <w:r w:rsidRPr="001F603C">
              <w:rPr>
                <w:rFonts w:ascii="Arial" w:hAnsi="Arial" w:cs="Arial"/>
                <w:b/>
                <w:sz w:val="20"/>
                <w:szCs w:val="20"/>
              </w:rPr>
              <w:t>625.5</w:t>
            </w:r>
          </w:p>
        </w:tc>
        <w:tc>
          <w:tcPr>
            <w:tcW w:w="0" w:type="auto"/>
            <w:vAlign w:val="center"/>
          </w:tcPr>
          <w:p w14:paraId="78C70C90" w14:textId="0B63E649" w:rsidR="001F603C" w:rsidRPr="001F603C" w:rsidRDefault="00261E0A" w:rsidP="001F603C">
            <w:pPr>
              <w:jc w:val="right"/>
              <w:rPr>
                <w:rFonts w:ascii="Arial" w:hAnsi="Arial" w:cs="Arial"/>
                <w:b/>
                <w:sz w:val="20"/>
                <w:szCs w:val="20"/>
              </w:rPr>
            </w:pPr>
            <w:r>
              <w:rPr>
                <w:rFonts w:ascii="Arial" w:hAnsi="Arial" w:cs="Arial"/>
                <w:b/>
                <w:sz w:val="20"/>
                <w:szCs w:val="20"/>
              </w:rPr>
              <w:t>25.0</w:t>
            </w:r>
          </w:p>
        </w:tc>
        <w:tc>
          <w:tcPr>
            <w:tcW w:w="0" w:type="auto"/>
            <w:vAlign w:val="center"/>
          </w:tcPr>
          <w:p w14:paraId="0739EFFE" w14:textId="0A55AFA6" w:rsidR="001F603C" w:rsidRPr="001F603C" w:rsidRDefault="001F603C" w:rsidP="001F603C">
            <w:pPr>
              <w:jc w:val="right"/>
              <w:rPr>
                <w:rFonts w:ascii="Arial" w:hAnsi="Arial" w:cs="Arial"/>
                <w:b/>
                <w:sz w:val="20"/>
                <w:szCs w:val="20"/>
              </w:rPr>
            </w:pPr>
            <w:r w:rsidRPr="001F603C">
              <w:rPr>
                <w:rFonts w:ascii="Arial" w:hAnsi="Arial" w:cs="Arial"/>
                <w:b/>
                <w:sz w:val="20"/>
                <w:szCs w:val="20"/>
              </w:rPr>
              <w:t>3.8%</w:t>
            </w:r>
          </w:p>
        </w:tc>
      </w:tr>
    </w:tbl>
    <w:p w14:paraId="4B72F348" w14:textId="77777777" w:rsidR="00321E09" w:rsidRDefault="00321E09" w:rsidP="002C417F">
      <w:pPr>
        <w:keepNext/>
        <w:keepLines/>
      </w:pPr>
    </w:p>
    <w:p w14:paraId="13EBDCC3" w14:textId="54E57325" w:rsidR="002F29FA" w:rsidRDefault="002F29FA" w:rsidP="002F29FA">
      <w:r>
        <w:t xml:space="preserve">Table 4.4 summarizes load impacts </w:t>
      </w:r>
      <w:r w:rsidR="002B3A3B">
        <w:t xml:space="preserve">for the average event </w:t>
      </w:r>
      <w:r>
        <w:t xml:space="preserve">by local capacity area (LCA), showing that the highest share of the load impacts came from service accounts not associated with any LCA. </w:t>
      </w:r>
      <w:r w:rsidR="00252BB0">
        <w:t xml:space="preserve">Note that some </w:t>
      </w:r>
      <w:r w:rsidR="00252BB0" w:rsidRPr="00C749DA">
        <w:t>results have been removed due to confidentiality concerns.</w:t>
      </w:r>
      <w:r>
        <w:t xml:space="preserve"> </w:t>
      </w:r>
    </w:p>
    <w:p w14:paraId="0387046C" w14:textId="77777777" w:rsidR="00370C78" w:rsidRDefault="00370C78" w:rsidP="002F29FA"/>
    <w:p w14:paraId="5A80E2E1" w14:textId="3F1861E7" w:rsidR="00321E09" w:rsidRPr="00852320" w:rsidRDefault="00321E09" w:rsidP="00D575C8">
      <w:pPr>
        <w:pStyle w:val="TableCaption"/>
        <w:keepNext/>
        <w:keepLines/>
      </w:pPr>
      <w:bookmarkStart w:id="103" w:name="_Toc415761877"/>
      <w:r w:rsidRPr="00852320">
        <w:t>Table 4.</w:t>
      </w:r>
      <w:r w:rsidR="00F02657" w:rsidRPr="00852320">
        <w:t>4</w:t>
      </w:r>
      <w:r w:rsidRPr="00852320">
        <w:t xml:space="preserve">: Average </w:t>
      </w:r>
      <w:r w:rsidR="00742A4F">
        <w:t>Event-</w:t>
      </w:r>
      <w:r w:rsidRPr="00852320">
        <w:t xml:space="preserve">Hour Load Impacts – PG&amp;E DBP, </w:t>
      </w:r>
      <w:r w:rsidRPr="00852320">
        <w:rPr>
          <w:i/>
        </w:rPr>
        <w:t>by LCA</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1499"/>
        <w:gridCol w:w="1843"/>
        <w:gridCol w:w="1479"/>
        <w:gridCol w:w="1732"/>
        <w:gridCol w:w="672"/>
      </w:tblGrid>
      <w:tr w:rsidR="00321E09" w14:paraId="02652936" w14:textId="77777777" w:rsidTr="0005199B">
        <w:tc>
          <w:tcPr>
            <w:tcW w:w="0" w:type="auto"/>
            <w:shd w:val="clear" w:color="auto" w:fill="D9E2F3"/>
            <w:vAlign w:val="center"/>
          </w:tcPr>
          <w:p w14:paraId="1D8CBADD"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Local Capacity Area</w:t>
            </w:r>
          </w:p>
        </w:tc>
        <w:tc>
          <w:tcPr>
            <w:tcW w:w="0" w:type="auto"/>
            <w:shd w:val="clear" w:color="auto" w:fill="D9E2F3"/>
            <w:vAlign w:val="center"/>
          </w:tcPr>
          <w:p w14:paraId="3AE9840E" w14:textId="77777777" w:rsidR="00321E09" w:rsidRPr="007E0A27" w:rsidRDefault="002F29FA" w:rsidP="00D575C8">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2B7BE9C6"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4BC41EDB"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Observed Load (MW)</w:t>
            </w:r>
          </w:p>
        </w:tc>
        <w:tc>
          <w:tcPr>
            <w:tcW w:w="0" w:type="auto"/>
            <w:shd w:val="clear" w:color="auto" w:fill="D9E2F3"/>
            <w:vAlign w:val="center"/>
          </w:tcPr>
          <w:p w14:paraId="3DE08DCD"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6AACCDEF"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 LI</w:t>
            </w:r>
          </w:p>
        </w:tc>
      </w:tr>
      <w:tr w:rsidR="0070662B" w14:paraId="76AAB2E3" w14:textId="77777777" w:rsidTr="0070662B">
        <w:tc>
          <w:tcPr>
            <w:tcW w:w="0" w:type="auto"/>
            <w:vAlign w:val="center"/>
          </w:tcPr>
          <w:p w14:paraId="7DEAB8DB"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Greater Bay Area</w:t>
            </w:r>
          </w:p>
        </w:tc>
        <w:tc>
          <w:tcPr>
            <w:tcW w:w="0" w:type="auto"/>
            <w:vAlign w:val="center"/>
          </w:tcPr>
          <w:p w14:paraId="30C2AB43" w14:textId="075D85D2" w:rsidR="0070662B" w:rsidRPr="0070662B" w:rsidRDefault="0070662B" w:rsidP="0070662B">
            <w:pPr>
              <w:jc w:val="right"/>
              <w:rPr>
                <w:rFonts w:ascii="Arial" w:hAnsi="Arial" w:cs="Arial"/>
                <w:sz w:val="20"/>
                <w:szCs w:val="20"/>
              </w:rPr>
            </w:pPr>
            <w:r w:rsidRPr="0070662B">
              <w:rPr>
                <w:rFonts w:ascii="Arial" w:hAnsi="Arial" w:cs="Arial"/>
                <w:sz w:val="20"/>
                <w:szCs w:val="20"/>
              </w:rPr>
              <w:t>400</w:t>
            </w:r>
          </w:p>
        </w:tc>
        <w:tc>
          <w:tcPr>
            <w:tcW w:w="0" w:type="auto"/>
            <w:vAlign w:val="center"/>
          </w:tcPr>
          <w:p w14:paraId="373103EE" w14:textId="178C78FF" w:rsidR="0070662B" w:rsidRPr="0070662B" w:rsidRDefault="0070662B" w:rsidP="0070662B">
            <w:pPr>
              <w:jc w:val="right"/>
              <w:rPr>
                <w:rFonts w:ascii="Arial" w:hAnsi="Arial" w:cs="Arial"/>
                <w:sz w:val="20"/>
                <w:szCs w:val="20"/>
              </w:rPr>
            </w:pPr>
            <w:r w:rsidRPr="0070662B">
              <w:rPr>
                <w:rFonts w:ascii="Arial" w:hAnsi="Arial" w:cs="Arial"/>
                <w:sz w:val="20"/>
                <w:szCs w:val="20"/>
              </w:rPr>
              <w:t>264.3</w:t>
            </w:r>
          </w:p>
        </w:tc>
        <w:tc>
          <w:tcPr>
            <w:tcW w:w="0" w:type="auto"/>
            <w:vAlign w:val="center"/>
          </w:tcPr>
          <w:p w14:paraId="6E708C16" w14:textId="49953183" w:rsidR="0070662B" w:rsidRPr="0070662B" w:rsidRDefault="0070662B" w:rsidP="0070662B">
            <w:pPr>
              <w:jc w:val="right"/>
              <w:rPr>
                <w:rFonts w:ascii="Arial" w:hAnsi="Arial" w:cs="Arial"/>
                <w:sz w:val="20"/>
                <w:szCs w:val="20"/>
              </w:rPr>
            </w:pPr>
            <w:r w:rsidRPr="0070662B">
              <w:rPr>
                <w:rFonts w:ascii="Arial" w:hAnsi="Arial" w:cs="Arial"/>
                <w:sz w:val="20"/>
                <w:szCs w:val="20"/>
              </w:rPr>
              <w:t>260.8</w:t>
            </w:r>
          </w:p>
        </w:tc>
        <w:tc>
          <w:tcPr>
            <w:tcW w:w="0" w:type="auto"/>
            <w:vAlign w:val="center"/>
          </w:tcPr>
          <w:p w14:paraId="6EBB24E5" w14:textId="41CA54A7" w:rsidR="0070662B" w:rsidRPr="0070662B" w:rsidRDefault="0070662B" w:rsidP="0070662B">
            <w:pPr>
              <w:jc w:val="right"/>
              <w:rPr>
                <w:rFonts w:ascii="Arial" w:hAnsi="Arial" w:cs="Arial"/>
                <w:sz w:val="20"/>
                <w:szCs w:val="20"/>
              </w:rPr>
            </w:pPr>
            <w:r w:rsidRPr="0070662B">
              <w:rPr>
                <w:rFonts w:ascii="Arial" w:hAnsi="Arial" w:cs="Arial"/>
                <w:sz w:val="20"/>
                <w:szCs w:val="20"/>
              </w:rPr>
              <w:t>3.5</w:t>
            </w:r>
          </w:p>
        </w:tc>
        <w:tc>
          <w:tcPr>
            <w:tcW w:w="0" w:type="auto"/>
            <w:vAlign w:val="center"/>
          </w:tcPr>
          <w:p w14:paraId="1C835D9B" w14:textId="4D64057B" w:rsidR="0070662B" w:rsidRPr="0070662B" w:rsidRDefault="0070662B" w:rsidP="0070662B">
            <w:pPr>
              <w:jc w:val="right"/>
              <w:rPr>
                <w:rFonts w:ascii="Arial" w:hAnsi="Arial" w:cs="Arial"/>
                <w:sz w:val="20"/>
                <w:szCs w:val="20"/>
              </w:rPr>
            </w:pPr>
            <w:r w:rsidRPr="0070662B">
              <w:rPr>
                <w:rFonts w:ascii="Arial" w:hAnsi="Arial" w:cs="Arial"/>
                <w:sz w:val="20"/>
                <w:szCs w:val="20"/>
              </w:rPr>
              <w:t>1.3%</w:t>
            </w:r>
          </w:p>
        </w:tc>
      </w:tr>
      <w:tr w:rsidR="0070662B" w14:paraId="2055A301" w14:textId="77777777" w:rsidTr="0070662B">
        <w:tc>
          <w:tcPr>
            <w:tcW w:w="0" w:type="auto"/>
            <w:vAlign w:val="center"/>
          </w:tcPr>
          <w:p w14:paraId="0D9D956B"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 xml:space="preserve">Greater </w:t>
            </w:r>
            <w:smartTag w:uri="urn:schemas-microsoft-com:office:smarttags" w:element="place">
              <w:smartTag w:uri="urn:schemas-microsoft-com:office:smarttags" w:element="City">
                <w:r w:rsidRPr="00312499">
                  <w:rPr>
                    <w:rFonts w:ascii="Arial" w:hAnsi="Arial" w:cs="Arial"/>
                    <w:sz w:val="20"/>
                    <w:szCs w:val="20"/>
                  </w:rPr>
                  <w:t>Fresno</w:t>
                </w:r>
              </w:smartTag>
            </w:smartTag>
          </w:p>
        </w:tc>
        <w:tc>
          <w:tcPr>
            <w:tcW w:w="0" w:type="auto"/>
            <w:vAlign w:val="center"/>
          </w:tcPr>
          <w:p w14:paraId="7179F386" w14:textId="53A5FE0D" w:rsidR="0070662B" w:rsidRPr="0070662B" w:rsidRDefault="0070662B" w:rsidP="0070662B">
            <w:pPr>
              <w:jc w:val="right"/>
              <w:rPr>
                <w:rFonts w:ascii="Arial" w:hAnsi="Arial" w:cs="Arial"/>
                <w:sz w:val="20"/>
                <w:szCs w:val="20"/>
              </w:rPr>
            </w:pPr>
          </w:p>
        </w:tc>
        <w:tc>
          <w:tcPr>
            <w:tcW w:w="0" w:type="auto"/>
            <w:vAlign w:val="center"/>
          </w:tcPr>
          <w:p w14:paraId="6E804AB9" w14:textId="152F5393" w:rsidR="0070662B" w:rsidRPr="0070662B" w:rsidRDefault="0070662B" w:rsidP="0070662B">
            <w:pPr>
              <w:jc w:val="right"/>
              <w:rPr>
                <w:rFonts w:ascii="Arial" w:hAnsi="Arial" w:cs="Arial"/>
                <w:sz w:val="20"/>
                <w:szCs w:val="20"/>
              </w:rPr>
            </w:pPr>
          </w:p>
        </w:tc>
        <w:tc>
          <w:tcPr>
            <w:tcW w:w="0" w:type="auto"/>
            <w:vAlign w:val="center"/>
          </w:tcPr>
          <w:p w14:paraId="4ABF7C8A" w14:textId="62E563B7" w:rsidR="0070662B" w:rsidRPr="0070662B" w:rsidRDefault="0070662B" w:rsidP="0070662B">
            <w:pPr>
              <w:jc w:val="right"/>
              <w:rPr>
                <w:rFonts w:ascii="Arial" w:hAnsi="Arial" w:cs="Arial"/>
                <w:sz w:val="20"/>
                <w:szCs w:val="20"/>
              </w:rPr>
            </w:pPr>
          </w:p>
        </w:tc>
        <w:tc>
          <w:tcPr>
            <w:tcW w:w="0" w:type="auto"/>
            <w:vAlign w:val="center"/>
          </w:tcPr>
          <w:p w14:paraId="2F19922D" w14:textId="43A66E61" w:rsidR="0070662B" w:rsidRPr="0070662B" w:rsidRDefault="0070662B" w:rsidP="0070662B">
            <w:pPr>
              <w:jc w:val="right"/>
              <w:rPr>
                <w:rFonts w:ascii="Arial" w:hAnsi="Arial" w:cs="Arial"/>
                <w:sz w:val="20"/>
                <w:szCs w:val="20"/>
              </w:rPr>
            </w:pPr>
          </w:p>
        </w:tc>
        <w:tc>
          <w:tcPr>
            <w:tcW w:w="0" w:type="auto"/>
            <w:vAlign w:val="center"/>
          </w:tcPr>
          <w:p w14:paraId="03098C3D" w14:textId="359F8462" w:rsidR="0070662B" w:rsidRPr="0070662B" w:rsidRDefault="0070662B" w:rsidP="00261E0A">
            <w:pPr>
              <w:jc w:val="right"/>
              <w:rPr>
                <w:rFonts w:ascii="Arial" w:hAnsi="Arial" w:cs="Arial"/>
                <w:sz w:val="20"/>
                <w:szCs w:val="20"/>
              </w:rPr>
            </w:pPr>
          </w:p>
        </w:tc>
      </w:tr>
      <w:tr w:rsidR="0070662B" w14:paraId="1AF17E21" w14:textId="77777777" w:rsidTr="0070662B">
        <w:tc>
          <w:tcPr>
            <w:tcW w:w="0" w:type="auto"/>
            <w:vAlign w:val="center"/>
          </w:tcPr>
          <w:p w14:paraId="105B229A"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Humboldt</w:t>
            </w:r>
          </w:p>
        </w:tc>
        <w:tc>
          <w:tcPr>
            <w:tcW w:w="0" w:type="auto"/>
            <w:vAlign w:val="center"/>
          </w:tcPr>
          <w:p w14:paraId="134B3222" w14:textId="1DEF9321" w:rsidR="0070662B" w:rsidRPr="0070662B" w:rsidRDefault="0070662B" w:rsidP="0070662B">
            <w:pPr>
              <w:jc w:val="right"/>
              <w:rPr>
                <w:rFonts w:ascii="Arial" w:hAnsi="Arial" w:cs="Arial"/>
                <w:sz w:val="20"/>
                <w:szCs w:val="20"/>
              </w:rPr>
            </w:pPr>
          </w:p>
        </w:tc>
        <w:tc>
          <w:tcPr>
            <w:tcW w:w="0" w:type="auto"/>
            <w:vAlign w:val="center"/>
          </w:tcPr>
          <w:p w14:paraId="46CF0111" w14:textId="297F9122" w:rsidR="0070662B" w:rsidRPr="0070662B" w:rsidRDefault="0070662B" w:rsidP="0070662B">
            <w:pPr>
              <w:jc w:val="right"/>
              <w:rPr>
                <w:rFonts w:ascii="Arial" w:hAnsi="Arial" w:cs="Arial"/>
                <w:sz w:val="20"/>
                <w:szCs w:val="20"/>
              </w:rPr>
            </w:pPr>
          </w:p>
        </w:tc>
        <w:tc>
          <w:tcPr>
            <w:tcW w:w="0" w:type="auto"/>
            <w:vAlign w:val="center"/>
          </w:tcPr>
          <w:p w14:paraId="0E68C44B" w14:textId="216B393D" w:rsidR="0070662B" w:rsidRPr="0070662B" w:rsidRDefault="0070662B" w:rsidP="0070662B">
            <w:pPr>
              <w:jc w:val="right"/>
              <w:rPr>
                <w:rFonts w:ascii="Arial" w:hAnsi="Arial" w:cs="Arial"/>
                <w:sz w:val="20"/>
                <w:szCs w:val="20"/>
              </w:rPr>
            </w:pPr>
          </w:p>
        </w:tc>
        <w:tc>
          <w:tcPr>
            <w:tcW w:w="0" w:type="auto"/>
            <w:vAlign w:val="center"/>
          </w:tcPr>
          <w:p w14:paraId="643F1FED" w14:textId="5E208A6C" w:rsidR="0070662B" w:rsidRPr="0070662B" w:rsidRDefault="0070662B" w:rsidP="0070662B">
            <w:pPr>
              <w:jc w:val="right"/>
              <w:rPr>
                <w:rFonts w:ascii="Arial" w:hAnsi="Arial" w:cs="Arial"/>
                <w:sz w:val="20"/>
                <w:szCs w:val="20"/>
              </w:rPr>
            </w:pPr>
          </w:p>
        </w:tc>
        <w:tc>
          <w:tcPr>
            <w:tcW w:w="0" w:type="auto"/>
            <w:vAlign w:val="center"/>
          </w:tcPr>
          <w:p w14:paraId="64B8A727" w14:textId="221015C9" w:rsidR="0070662B" w:rsidRPr="0070662B" w:rsidRDefault="0070662B" w:rsidP="0070662B">
            <w:pPr>
              <w:jc w:val="right"/>
              <w:rPr>
                <w:rFonts w:ascii="Arial" w:hAnsi="Arial" w:cs="Arial"/>
                <w:sz w:val="20"/>
                <w:szCs w:val="20"/>
              </w:rPr>
            </w:pPr>
          </w:p>
        </w:tc>
      </w:tr>
      <w:tr w:rsidR="0070662B" w14:paraId="35F4D8E3" w14:textId="77777777" w:rsidTr="0070662B">
        <w:tc>
          <w:tcPr>
            <w:tcW w:w="0" w:type="auto"/>
            <w:vAlign w:val="center"/>
          </w:tcPr>
          <w:p w14:paraId="3D806E3D"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Kern</w:t>
            </w:r>
          </w:p>
        </w:tc>
        <w:tc>
          <w:tcPr>
            <w:tcW w:w="0" w:type="auto"/>
            <w:vAlign w:val="center"/>
          </w:tcPr>
          <w:p w14:paraId="0311E11F" w14:textId="29183D6F" w:rsidR="0070662B" w:rsidRPr="0070662B" w:rsidRDefault="0070662B" w:rsidP="0070662B">
            <w:pPr>
              <w:jc w:val="right"/>
              <w:rPr>
                <w:rFonts w:ascii="Arial" w:hAnsi="Arial" w:cs="Arial"/>
                <w:sz w:val="20"/>
                <w:szCs w:val="20"/>
              </w:rPr>
            </w:pPr>
          </w:p>
        </w:tc>
        <w:tc>
          <w:tcPr>
            <w:tcW w:w="0" w:type="auto"/>
            <w:vAlign w:val="center"/>
          </w:tcPr>
          <w:p w14:paraId="5FF61643" w14:textId="657A8A4B" w:rsidR="0070662B" w:rsidRPr="0070662B" w:rsidRDefault="0070662B" w:rsidP="0070662B">
            <w:pPr>
              <w:jc w:val="right"/>
              <w:rPr>
                <w:rFonts w:ascii="Arial" w:hAnsi="Arial" w:cs="Arial"/>
                <w:sz w:val="20"/>
                <w:szCs w:val="20"/>
              </w:rPr>
            </w:pPr>
          </w:p>
        </w:tc>
        <w:tc>
          <w:tcPr>
            <w:tcW w:w="0" w:type="auto"/>
            <w:vAlign w:val="center"/>
          </w:tcPr>
          <w:p w14:paraId="7EC0E46D" w14:textId="0E9E2EEA" w:rsidR="0070662B" w:rsidRPr="0070662B" w:rsidRDefault="0070662B" w:rsidP="0070662B">
            <w:pPr>
              <w:jc w:val="right"/>
              <w:rPr>
                <w:rFonts w:ascii="Arial" w:hAnsi="Arial" w:cs="Arial"/>
                <w:sz w:val="20"/>
                <w:szCs w:val="20"/>
              </w:rPr>
            </w:pPr>
          </w:p>
        </w:tc>
        <w:tc>
          <w:tcPr>
            <w:tcW w:w="0" w:type="auto"/>
            <w:vAlign w:val="center"/>
          </w:tcPr>
          <w:p w14:paraId="49082381" w14:textId="1FC61EF4" w:rsidR="0070662B" w:rsidRPr="0070662B" w:rsidRDefault="0070662B" w:rsidP="0070662B">
            <w:pPr>
              <w:jc w:val="right"/>
              <w:rPr>
                <w:rFonts w:ascii="Arial" w:hAnsi="Arial" w:cs="Arial"/>
                <w:sz w:val="20"/>
                <w:szCs w:val="20"/>
              </w:rPr>
            </w:pPr>
          </w:p>
        </w:tc>
        <w:tc>
          <w:tcPr>
            <w:tcW w:w="0" w:type="auto"/>
            <w:vAlign w:val="center"/>
          </w:tcPr>
          <w:p w14:paraId="5846FA15" w14:textId="0AEC214C" w:rsidR="0070662B" w:rsidRPr="0070662B" w:rsidRDefault="0070662B" w:rsidP="0070662B">
            <w:pPr>
              <w:jc w:val="right"/>
              <w:rPr>
                <w:rFonts w:ascii="Arial" w:hAnsi="Arial" w:cs="Arial"/>
                <w:sz w:val="20"/>
                <w:szCs w:val="20"/>
              </w:rPr>
            </w:pPr>
          </w:p>
        </w:tc>
      </w:tr>
      <w:tr w:rsidR="0070662B" w14:paraId="4EB943A3" w14:textId="77777777" w:rsidTr="0070662B">
        <w:tc>
          <w:tcPr>
            <w:tcW w:w="0" w:type="auto"/>
            <w:vAlign w:val="center"/>
          </w:tcPr>
          <w:p w14:paraId="0D314D77"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Northern Coast</w:t>
            </w:r>
          </w:p>
        </w:tc>
        <w:tc>
          <w:tcPr>
            <w:tcW w:w="0" w:type="auto"/>
            <w:vAlign w:val="center"/>
          </w:tcPr>
          <w:p w14:paraId="37758F45" w14:textId="33C4F167" w:rsidR="0070662B" w:rsidRPr="0070662B" w:rsidRDefault="0070662B" w:rsidP="0070662B">
            <w:pPr>
              <w:jc w:val="right"/>
              <w:rPr>
                <w:rFonts w:ascii="Arial" w:hAnsi="Arial" w:cs="Arial"/>
                <w:sz w:val="20"/>
                <w:szCs w:val="20"/>
              </w:rPr>
            </w:pPr>
            <w:r w:rsidRPr="0070662B">
              <w:rPr>
                <w:rFonts w:ascii="Arial" w:hAnsi="Arial" w:cs="Arial"/>
                <w:sz w:val="20"/>
                <w:szCs w:val="20"/>
              </w:rPr>
              <w:t>48</w:t>
            </w:r>
          </w:p>
        </w:tc>
        <w:tc>
          <w:tcPr>
            <w:tcW w:w="0" w:type="auto"/>
            <w:vAlign w:val="center"/>
          </w:tcPr>
          <w:p w14:paraId="34061705" w14:textId="171B4A72" w:rsidR="0070662B" w:rsidRPr="0070662B" w:rsidRDefault="0070662B" w:rsidP="007F12FE">
            <w:pPr>
              <w:jc w:val="right"/>
              <w:rPr>
                <w:rFonts w:ascii="Arial" w:hAnsi="Arial" w:cs="Arial"/>
                <w:sz w:val="20"/>
                <w:szCs w:val="20"/>
              </w:rPr>
            </w:pPr>
            <w:r w:rsidRPr="0070662B">
              <w:rPr>
                <w:rFonts w:ascii="Arial" w:hAnsi="Arial" w:cs="Arial"/>
                <w:sz w:val="20"/>
                <w:szCs w:val="20"/>
              </w:rPr>
              <w:t>17.</w:t>
            </w:r>
            <w:r w:rsidR="007F12FE">
              <w:rPr>
                <w:rFonts w:ascii="Arial" w:hAnsi="Arial" w:cs="Arial"/>
                <w:sz w:val="20"/>
                <w:szCs w:val="20"/>
              </w:rPr>
              <w:t>8</w:t>
            </w:r>
          </w:p>
        </w:tc>
        <w:tc>
          <w:tcPr>
            <w:tcW w:w="0" w:type="auto"/>
            <w:vAlign w:val="center"/>
          </w:tcPr>
          <w:p w14:paraId="68ADE332" w14:textId="5C56F7A5" w:rsidR="0070662B" w:rsidRPr="0070662B" w:rsidRDefault="0070662B" w:rsidP="0070662B">
            <w:pPr>
              <w:jc w:val="right"/>
              <w:rPr>
                <w:rFonts w:ascii="Arial" w:hAnsi="Arial" w:cs="Arial"/>
                <w:sz w:val="20"/>
                <w:szCs w:val="20"/>
              </w:rPr>
            </w:pPr>
            <w:r w:rsidRPr="0070662B">
              <w:rPr>
                <w:rFonts w:ascii="Arial" w:hAnsi="Arial" w:cs="Arial"/>
                <w:sz w:val="20"/>
                <w:szCs w:val="20"/>
              </w:rPr>
              <w:t>16.5</w:t>
            </w:r>
          </w:p>
        </w:tc>
        <w:tc>
          <w:tcPr>
            <w:tcW w:w="0" w:type="auto"/>
            <w:vAlign w:val="center"/>
          </w:tcPr>
          <w:p w14:paraId="71F1E0D5" w14:textId="0B94D5CB" w:rsidR="0070662B" w:rsidRPr="0070662B" w:rsidRDefault="0070662B" w:rsidP="0070662B">
            <w:pPr>
              <w:jc w:val="right"/>
              <w:rPr>
                <w:rFonts w:ascii="Arial" w:hAnsi="Arial" w:cs="Arial"/>
                <w:sz w:val="20"/>
                <w:szCs w:val="20"/>
              </w:rPr>
            </w:pPr>
            <w:r w:rsidRPr="0070662B">
              <w:rPr>
                <w:rFonts w:ascii="Arial" w:hAnsi="Arial" w:cs="Arial"/>
                <w:sz w:val="20"/>
                <w:szCs w:val="20"/>
              </w:rPr>
              <w:t>0.7</w:t>
            </w:r>
          </w:p>
        </w:tc>
        <w:tc>
          <w:tcPr>
            <w:tcW w:w="0" w:type="auto"/>
            <w:vAlign w:val="center"/>
          </w:tcPr>
          <w:p w14:paraId="674B4C41" w14:textId="447B9C1F" w:rsidR="0070662B" w:rsidRPr="0070662B" w:rsidRDefault="0070662B" w:rsidP="0070662B">
            <w:pPr>
              <w:jc w:val="right"/>
              <w:rPr>
                <w:rFonts w:ascii="Arial" w:hAnsi="Arial" w:cs="Arial"/>
                <w:sz w:val="20"/>
                <w:szCs w:val="20"/>
              </w:rPr>
            </w:pPr>
            <w:r w:rsidRPr="0070662B">
              <w:rPr>
                <w:rFonts w:ascii="Arial" w:hAnsi="Arial" w:cs="Arial"/>
                <w:sz w:val="20"/>
                <w:szCs w:val="20"/>
              </w:rPr>
              <w:t>4.3%</w:t>
            </w:r>
          </w:p>
        </w:tc>
      </w:tr>
      <w:tr w:rsidR="0070662B" w14:paraId="193C1951" w14:textId="77777777" w:rsidTr="0070662B">
        <w:tc>
          <w:tcPr>
            <w:tcW w:w="0" w:type="auto"/>
            <w:vAlign w:val="center"/>
          </w:tcPr>
          <w:p w14:paraId="34649EE1"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Not in any LCA</w:t>
            </w:r>
          </w:p>
        </w:tc>
        <w:tc>
          <w:tcPr>
            <w:tcW w:w="0" w:type="auto"/>
            <w:vAlign w:val="center"/>
          </w:tcPr>
          <w:p w14:paraId="132FEF57" w14:textId="7331E51E" w:rsidR="0070662B" w:rsidRPr="0070662B" w:rsidRDefault="0070662B" w:rsidP="0070662B">
            <w:pPr>
              <w:jc w:val="right"/>
              <w:rPr>
                <w:rFonts w:ascii="Arial" w:hAnsi="Arial" w:cs="Arial"/>
                <w:sz w:val="20"/>
                <w:szCs w:val="20"/>
              </w:rPr>
            </w:pPr>
            <w:r w:rsidRPr="0070662B">
              <w:rPr>
                <w:rFonts w:ascii="Arial" w:hAnsi="Arial" w:cs="Arial"/>
                <w:sz w:val="20"/>
                <w:szCs w:val="20"/>
              </w:rPr>
              <w:t>247</w:t>
            </w:r>
          </w:p>
        </w:tc>
        <w:tc>
          <w:tcPr>
            <w:tcW w:w="0" w:type="auto"/>
            <w:vAlign w:val="center"/>
          </w:tcPr>
          <w:p w14:paraId="30FD88AA" w14:textId="61BCB31E" w:rsidR="0070662B" w:rsidRPr="0070662B" w:rsidRDefault="0070662B" w:rsidP="0070662B">
            <w:pPr>
              <w:jc w:val="right"/>
              <w:rPr>
                <w:rFonts w:ascii="Arial" w:hAnsi="Arial" w:cs="Arial"/>
                <w:sz w:val="20"/>
                <w:szCs w:val="20"/>
              </w:rPr>
            </w:pPr>
            <w:r w:rsidRPr="0070662B">
              <w:rPr>
                <w:rFonts w:ascii="Arial" w:hAnsi="Arial" w:cs="Arial"/>
                <w:sz w:val="20"/>
                <w:szCs w:val="20"/>
              </w:rPr>
              <w:t>301.</w:t>
            </w:r>
            <w:r w:rsidR="007F12FE">
              <w:rPr>
                <w:rFonts w:ascii="Arial" w:hAnsi="Arial" w:cs="Arial"/>
                <w:sz w:val="20"/>
                <w:szCs w:val="20"/>
              </w:rPr>
              <w:t>5</w:t>
            </w:r>
          </w:p>
        </w:tc>
        <w:tc>
          <w:tcPr>
            <w:tcW w:w="0" w:type="auto"/>
            <w:vAlign w:val="center"/>
          </w:tcPr>
          <w:p w14:paraId="0970B41C" w14:textId="0E540CD2" w:rsidR="0070662B" w:rsidRPr="0070662B" w:rsidRDefault="0070662B" w:rsidP="0070662B">
            <w:pPr>
              <w:jc w:val="right"/>
              <w:rPr>
                <w:rFonts w:ascii="Arial" w:hAnsi="Arial" w:cs="Arial"/>
                <w:sz w:val="20"/>
                <w:szCs w:val="20"/>
              </w:rPr>
            </w:pPr>
            <w:r w:rsidRPr="0070662B">
              <w:rPr>
                <w:rFonts w:ascii="Arial" w:hAnsi="Arial" w:cs="Arial"/>
                <w:sz w:val="20"/>
                <w:szCs w:val="20"/>
              </w:rPr>
              <w:t>280.8</w:t>
            </w:r>
          </w:p>
        </w:tc>
        <w:tc>
          <w:tcPr>
            <w:tcW w:w="0" w:type="auto"/>
            <w:vAlign w:val="center"/>
          </w:tcPr>
          <w:p w14:paraId="43BA3B30" w14:textId="095F99DA" w:rsidR="0070662B" w:rsidRPr="0070662B" w:rsidRDefault="0070662B" w:rsidP="007F12FE">
            <w:pPr>
              <w:jc w:val="right"/>
              <w:rPr>
                <w:rFonts w:ascii="Arial" w:hAnsi="Arial" w:cs="Arial"/>
                <w:sz w:val="20"/>
                <w:szCs w:val="20"/>
              </w:rPr>
            </w:pPr>
            <w:r w:rsidRPr="0070662B">
              <w:rPr>
                <w:rFonts w:ascii="Arial" w:hAnsi="Arial" w:cs="Arial"/>
                <w:sz w:val="20"/>
                <w:szCs w:val="20"/>
              </w:rPr>
              <w:t>20.</w:t>
            </w:r>
            <w:r w:rsidR="007F12FE">
              <w:rPr>
                <w:rFonts w:ascii="Arial" w:hAnsi="Arial" w:cs="Arial"/>
                <w:sz w:val="20"/>
                <w:szCs w:val="20"/>
              </w:rPr>
              <w:t>7</w:t>
            </w:r>
          </w:p>
        </w:tc>
        <w:tc>
          <w:tcPr>
            <w:tcW w:w="0" w:type="auto"/>
            <w:vAlign w:val="center"/>
          </w:tcPr>
          <w:p w14:paraId="5A7D6FEF" w14:textId="02B5263A" w:rsidR="0070662B" w:rsidRPr="0070662B" w:rsidRDefault="0070662B" w:rsidP="007F12FE">
            <w:pPr>
              <w:jc w:val="right"/>
              <w:rPr>
                <w:rFonts w:ascii="Arial" w:hAnsi="Arial" w:cs="Arial"/>
                <w:sz w:val="20"/>
                <w:szCs w:val="20"/>
              </w:rPr>
            </w:pPr>
            <w:r w:rsidRPr="0070662B">
              <w:rPr>
                <w:rFonts w:ascii="Arial" w:hAnsi="Arial" w:cs="Arial"/>
                <w:sz w:val="20"/>
                <w:szCs w:val="20"/>
              </w:rPr>
              <w:t>6.</w:t>
            </w:r>
            <w:r w:rsidR="007F12FE">
              <w:rPr>
                <w:rFonts w:ascii="Arial" w:hAnsi="Arial" w:cs="Arial"/>
                <w:sz w:val="20"/>
                <w:szCs w:val="20"/>
              </w:rPr>
              <w:t>9</w:t>
            </w:r>
            <w:r w:rsidRPr="0070662B">
              <w:rPr>
                <w:rFonts w:ascii="Arial" w:hAnsi="Arial" w:cs="Arial"/>
                <w:sz w:val="20"/>
                <w:szCs w:val="20"/>
              </w:rPr>
              <w:t>%</w:t>
            </w:r>
          </w:p>
        </w:tc>
      </w:tr>
      <w:tr w:rsidR="0070662B" w14:paraId="214E6D12" w14:textId="77777777" w:rsidTr="0070662B">
        <w:tc>
          <w:tcPr>
            <w:tcW w:w="0" w:type="auto"/>
            <w:vAlign w:val="center"/>
          </w:tcPr>
          <w:p w14:paraId="31A3E4B6" w14:textId="77777777" w:rsidR="0070662B" w:rsidRPr="00312499" w:rsidRDefault="0070662B" w:rsidP="0070662B">
            <w:pPr>
              <w:keepNext/>
              <w:keepLines/>
              <w:rPr>
                <w:rFonts w:ascii="Arial" w:hAnsi="Arial" w:cs="Arial"/>
                <w:sz w:val="20"/>
                <w:szCs w:val="20"/>
              </w:rPr>
            </w:pPr>
            <w:r w:rsidRPr="00312499">
              <w:rPr>
                <w:rFonts w:ascii="Arial" w:hAnsi="Arial" w:cs="Arial"/>
                <w:sz w:val="20"/>
                <w:szCs w:val="20"/>
              </w:rPr>
              <w:t>Sierra</w:t>
            </w:r>
          </w:p>
        </w:tc>
        <w:tc>
          <w:tcPr>
            <w:tcW w:w="0" w:type="auto"/>
            <w:vAlign w:val="center"/>
          </w:tcPr>
          <w:p w14:paraId="7789DB01" w14:textId="7CD9DEAF" w:rsidR="0070662B" w:rsidRPr="0070662B" w:rsidRDefault="0070662B" w:rsidP="0070662B">
            <w:pPr>
              <w:jc w:val="right"/>
              <w:rPr>
                <w:rFonts w:ascii="Arial" w:hAnsi="Arial" w:cs="Arial"/>
                <w:sz w:val="20"/>
                <w:szCs w:val="20"/>
              </w:rPr>
            </w:pPr>
          </w:p>
        </w:tc>
        <w:tc>
          <w:tcPr>
            <w:tcW w:w="0" w:type="auto"/>
            <w:vAlign w:val="center"/>
          </w:tcPr>
          <w:p w14:paraId="7EA39ABD" w14:textId="2A438F36" w:rsidR="0070662B" w:rsidRPr="0070662B" w:rsidRDefault="0070662B" w:rsidP="0070662B">
            <w:pPr>
              <w:jc w:val="right"/>
              <w:rPr>
                <w:rFonts w:ascii="Arial" w:hAnsi="Arial" w:cs="Arial"/>
                <w:sz w:val="20"/>
                <w:szCs w:val="20"/>
              </w:rPr>
            </w:pPr>
          </w:p>
        </w:tc>
        <w:tc>
          <w:tcPr>
            <w:tcW w:w="0" w:type="auto"/>
            <w:vAlign w:val="center"/>
          </w:tcPr>
          <w:p w14:paraId="65743BB8" w14:textId="64ABB4CA" w:rsidR="0070662B" w:rsidRPr="0070662B" w:rsidRDefault="0070662B" w:rsidP="0070662B">
            <w:pPr>
              <w:jc w:val="right"/>
              <w:rPr>
                <w:rFonts w:ascii="Arial" w:hAnsi="Arial" w:cs="Arial"/>
                <w:sz w:val="20"/>
                <w:szCs w:val="20"/>
              </w:rPr>
            </w:pPr>
          </w:p>
        </w:tc>
        <w:tc>
          <w:tcPr>
            <w:tcW w:w="0" w:type="auto"/>
            <w:vAlign w:val="center"/>
          </w:tcPr>
          <w:p w14:paraId="3723F3CF" w14:textId="7D5C9ACD" w:rsidR="0070662B" w:rsidRPr="0070662B" w:rsidRDefault="0070662B" w:rsidP="0070662B">
            <w:pPr>
              <w:jc w:val="right"/>
              <w:rPr>
                <w:rFonts w:ascii="Arial" w:hAnsi="Arial" w:cs="Arial"/>
                <w:sz w:val="20"/>
                <w:szCs w:val="20"/>
              </w:rPr>
            </w:pPr>
          </w:p>
        </w:tc>
        <w:tc>
          <w:tcPr>
            <w:tcW w:w="0" w:type="auto"/>
            <w:vAlign w:val="center"/>
          </w:tcPr>
          <w:p w14:paraId="794D309A" w14:textId="21F98B2A" w:rsidR="0070662B" w:rsidRPr="0070662B" w:rsidRDefault="0070662B" w:rsidP="0070662B">
            <w:pPr>
              <w:jc w:val="right"/>
              <w:rPr>
                <w:rFonts w:ascii="Arial" w:hAnsi="Arial" w:cs="Arial"/>
                <w:sz w:val="20"/>
                <w:szCs w:val="20"/>
              </w:rPr>
            </w:pPr>
          </w:p>
        </w:tc>
      </w:tr>
      <w:tr w:rsidR="0070662B" w14:paraId="2561725D" w14:textId="77777777" w:rsidTr="0070662B">
        <w:tc>
          <w:tcPr>
            <w:tcW w:w="0" w:type="auto"/>
            <w:vAlign w:val="center"/>
          </w:tcPr>
          <w:p w14:paraId="58BB1F62" w14:textId="77777777" w:rsidR="0070662B" w:rsidRPr="00312499" w:rsidRDefault="0070662B" w:rsidP="0070662B">
            <w:pPr>
              <w:keepNext/>
              <w:keepLines/>
              <w:rPr>
                <w:rFonts w:ascii="Arial" w:hAnsi="Arial" w:cs="Arial"/>
                <w:sz w:val="20"/>
                <w:szCs w:val="20"/>
              </w:rPr>
            </w:pPr>
            <w:smartTag w:uri="urn:schemas-microsoft-com:office:smarttags" w:element="place">
              <w:smartTag w:uri="urn:schemas-microsoft-com:office:smarttags" w:element="City">
                <w:r w:rsidRPr="00312499">
                  <w:rPr>
                    <w:rFonts w:ascii="Arial" w:hAnsi="Arial" w:cs="Arial"/>
                    <w:sz w:val="20"/>
                    <w:szCs w:val="20"/>
                  </w:rPr>
                  <w:t>Stockton</w:t>
                </w:r>
              </w:smartTag>
            </w:smartTag>
          </w:p>
        </w:tc>
        <w:tc>
          <w:tcPr>
            <w:tcW w:w="0" w:type="auto"/>
            <w:vAlign w:val="center"/>
          </w:tcPr>
          <w:p w14:paraId="1DAFD642" w14:textId="2FEA91BB" w:rsidR="0070662B" w:rsidRPr="0070662B" w:rsidRDefault="0070662B" w:rsidP="0070662B">
            <w:pPr>
              <w:jc w:val="right"/>
              <w:rPr>
                <w:rFonts w:ascii="Arial" w:hAnsi="Arial" w:cs="Arial"/>
                <w:sz w:val="20"/>
                <w:szCs w:val="20"/>
              </w:rPr>
            </w:pPr>
          </w:p>
        </w:tc>
        <w:tc>
          <w:tcPr>
            <w:tcW w:w="0" w:type="auto"/>
            <w:vAlign w:val="center"/>
          </w:tcPr>
          <w:p w14:paraId="7DBB6BC7" w14:textId="6A2887B1" w:rsidR="0070662B" w:rsidRPr="0070662B" w:rsidRDefault="0070662B" w:rsidP="0070662B">
            <w:pPr>
              <w:jc w:val="right"/>
              <w:rPr>
                <w:rFonts w:ascii="Arial" w:hAnsi="Arial" w:cs="Arial"/>
                <w:sz w:val="20"/>
                <w:szCs w:val="20"/>
              </w:rPr>
            </w:pPr>
          </w:p>
        </w:tc>
        <w:tc>
          <w:tcPr>
            <w:tcW w:w="0" w:type="auto"/>
            <w:vAlign w:val="center"/>
          </w:tcPr>
          <w:p w14:paraId="1A22AE47" w14:textId="4B67DA25" w:rsidR="0070662B" w:rsidRPr="0070662B" w:rsidRDefault="0070662B" w:rsidP="0070662B">
            <w:pPr>
              <w:jc w:val="right"/>
              <w:rPr>
                <w:rFonts w:ascii="Arial" w:hAnsi="Arial" w:cs="Arial"/>
                <w:sz w:val="20"/>
                <w:szCs w:val="20"/>
              </w:rPr>
            </w:pPr>
          </w:p>
        </w:tc>
        <w:tc>
          <w:tcPr>
            <w:tcW w:w="0" w:type="auto"/>
            <w:vAlign w:val="center"/>
          </w:tcPr>
          <w:p w14:paraId="3F848C5F" w14:textId="4BB0743B" w:rsidR="0070662B" w:rsidRPr="0070662B" w:rsidRDefault="0070662B" w:rsidP="0070662B">
            <w:pPr>
              <w:jc w:val="right"/>
              <w:rPr>
                <w:rFonts w:ascii="Arial" w:hAnsi="Arial" w:cs="Arial"/>
                <w:sz w:val="20"/>
                <w:szCs w:val="20"/>
              </w:rPr>
            </w:pPr>
          </w:p>
        </w:tc>
        <w:tc>
          <w:tcPr>
            <w:tcW w:w="0" w:type="auto"/>
            <w:vAlign w:val="center"/>
          </w:tcPr>
          <w:p w14:paraId="5B09E34A" w14:textId="4D40D822" w:rsidR="0070662B" w:rsidRPr="0070662B" w:rsidRDefault="0070662B" w:rsidP="0070662B">
            <w:pPr>
              <w:jc w:val="right"/>
              <w:rPr>
                <w:rFonts w:ascii="Arial" w:hAnsi="Arial" w:cs="Arial"/>
                <w:sz w:val="20"/>
                <w:szCs w:val="20"/>
              </w:rPr>
            </w:pPr>
          </w:p>
        </w:tc>
      </w:tr>
      <w:tr w:rsidR="0070662B" w14:paraId="1A21B1AA" w14:textId="77777777" w:rsidTr="0070662B">
        <w:tc>
          <w:tcPr>
            <w:tcW w:w="0" w:type="auto"/>
            <w:vAlign w:val="center"/>
          </w:tcPr>
          <w:p w14:paraId="266D2384" w14:textId="77777777" w:rsidR="0070662B" w:rsidRPr="00312499" w:rsidRDefault="0070662B" w:rsidP="0070662B">
            <w:pPr>
              <w:keepNext/>
              <w:keepLines/>
              <w:rPr>
                <w:rFonts w:ascii="Arial" w:hAnsi="Arial" w:cs="Arial"/>
                <w:b/>
                <w:sz w:val="20"/>
                <w:szCs w:val="20"/>
              </w:rPr>
            </w:pPr>
            <w:r w:rsidRPr="00312499">
              <w:rPr>
                <w:rFonts w:ascii="Arial" w:hAnsi="Arial" w:cs="Arial"/>
                <w:b/>
                <w:sz w:val="20"/>
                <w:szCs w:val="20"/>
              </w:rPr>
              <w:t>Total</w:t>
            </w:r>
          </w:p>
        </w:tc>
        <w:tc>
          <w:tcPr>
            <w:tcW w:w="0" w:type="auto"/>
            <w:vAlign w:val="center"/>
          </w:tcPr>
          <w:p w14:paraId="43F84E9A" w14:textId="6E6CBD26" w:rsidR="0070662B" w:rsidRPr="0070662B" w:rsidRDefault="0070662B" w:rsidP="0070662B">
            <w:pPr>
              <w:jc w:val="right"/>
              <w:rPr>
                <w:rFonts w:ascii="Arial" w:hAnsi="Arial" w:cs="Arial"/>
                <w:b/>
                <w:sz w:val="20"/>
                <w:szCs w:val="20"/>
              </w:rPr>
            </w:pPr>
            <w:r w:rsidRPr="0070662B">
              <w:rPr>
                <w:rFonts w:ascii="Arial" w:hAnsi="Arial" w:cs="Arial"/>
                <w:b/>
                <w:sz w:val="20"/>
                <w:szCs w:val="20"/>
              </w:rPr>
              <w:t>846</w:t>
            </w:r>
          </w:p>
        </w:tc>
        <w:tc>
          <w:tcPr>
            <w:tcW w:w="0" w:type="auto"/>
            <w:vAlign w:val="center"/>
          </w:tcPr>
          <w:p w14:paraId="27EC4702" w14:textId="20E943E6" w:rsidR="0070662B" w:rsidRPr="0070662B" w:rsidRDefault="0070662B" w:rsidP="0070662B">
            <w:pPr>
              <w:jc w:val="right"/>
              <w:rPr>
                <w:rFonts w:ascii="Arial" w:hAnsi="Arial" w:cs="Arial"/>
                <w:b/>
                <w:sz w:val="20"/>
                <w:szCs w:val="20"/>
              </w:rPr>
            </w:pPr>
            <w:r w:rsidRPr="0070662B">
              <w:rPr>
                <w:rFonts w:ascii="Arial" w:hAnsi="Arial" w:cs="Arial"/>
                <w:b/>
                <w:sz w:val="20"/>
                <w:szCs w:val="20"/>
              </w:rPr>
              <w:t>650.</w:t>
            </w:r>
            <w:r w:rsidR="007F12FE">
              <w:rPr>
                <w:rFonts w:ascii="Arial" w:hAnsi="Arial" w:cs="Arial"/>
                <w:b/>
                <w:sz w:val="20"/>
                <w:szCs w:val="20"/>
              </w:rPr>
              <w:t>5</w:t>
            </w:r>
          </w:p>
        </w:tc>
        <w:tc>
          <w:tcPr>
            <w:tcW w:w="0" w:type="auto"/>
            <w:vAlign w:val="center"/>
          </w:tcPr>
          <w:p w14:paraId="2E6CE222" w14:textId="3C429005" w:rsidR="0070662B" w:rsidRPr="0070662B" w:rsidRDefault="0070662B" w:rsidP="0070662B">
            <w:pPr>
              <w:jc w:val="right"/>
              <w:rPr>
                <w:rFonts w:ascii="Arial" w:hAnsi="Arial" w:cs="Arial"/>
                <w:b/>
                <w:sz w:val="20"/>
                <w:szCs w:val="20"/>
              </w:rPr>
            </w:pPr>
            <w:r w:rsidRPr="0070662B">
              <w:rPr>
                <w:rFonts w:ascii="Arial" w:hAnsi="Arial" w:cs="Arial"/>
                <w:b/>
                <w:sz w:val="20"/>
                <w:szCs w:val="20"/>
              </w:rPr>
              <w:t>625.5</w:t>
            </w:r>
          </w:p>
        </w:tc>
        <w:tc>
          <w:tcPr>
            <w:tcW w:w="0" w:type="auto"/>
            <w:vAlign w:val="center"/>
          </w:tcPr>
          <w:p w14:paraId="222BF3FE" w14:textId="50BA6FD7" w:rsidR="0070662B" w:rsidRPr="0070662B" w:rsidRDefault="0070662B" w:rsidP="007F12FE">
            <w:pPr>
              <w:jc w:val="right"/>
              <w:rPr>
                <w:rFonts w:ascii="Arial" w:hAnsi="Arial" w:cs="Arial"/>
                <w:b/>
                <w:sz w:val="20"/>
                <w:szCs w:val="20"/>
              </w:rPr>
            </w:pPr>
            <w:r w:rsidRPr="0070662B">
              <w:rPr>
                <w:rFonts w:ascii="Arial" w:hAnsi="Arial" w:cs="Arial"/>
                <w:b/>
                <w:sz w:val="20"/>
                <w:szCs w:val="20"/>
              </w:rPr>
              <w:t>2</w:t>
            </w:r>
            <w:r w:rsidR="007F12FE">
              <w:rPr>
                <w:rFonts w:ascii="Arial" w:hAnsi="Arial" w:cs="Arial"/>
                <w:b/>
                <w:sz w:val="20"/>
                <w:szCs w:val="20"/>
              </w:rPr>
              <w:t>5</w:t>
            </w:r>
            <w:r w:rsidRPr="0070662B">
              <w:rPr>
                <w:rFonts w:ascii="Arial" w:hAnsi="Arial" w:cs="Arial"/>
                <w:b/>
                <w:sz w:val="20"/>
                <w:szCs w:val="20"/>
              </w:rPr>
              <w:t>.</w:t>
            </w:r>
            <w:r w:rsidR="007F12FE">
              <w:rPr>
                <w:rFonts w:ascii="Arial" w:hAnsi="Arial" w:cs="Arial"/>
                <w:b/>
                <w:sz w:val="20"/>
                <w:szCs w:val="20"/>
              </w:rPr>
              <w:t>0</w:t>
            </w:r>
          </w:p>
        </w:tc>
        <w:tc>
          <w:tcPr>
            <w:tcW w:w="0" w:type="auto"/>
            <w:vAlign w:val="center"/>
          </w:tcPr>
          <w:p w14:paraId="0B3C0F40" w14:textId="231A5F42" w:rsidR="0070662B" w:rsidRPr="0070662B" w:rsidRDefault="0070662B" w:rsidP="0070662B">
            <w:pPr>
              <w:jc w:val="right"/>
              <w:rPr>
                <w:rFonts w:ascii="Arial" w:hAnsi="Arial" w:cs="Arial"/>
                <w:b/>
                <w:sz w:val="20"/>
                <w:szCs w:val="20"/>
              </w:rPr>
            </w:pPr>
            <w:r w:rsidRPr="0070662B">
              <w:rPr>
                <w:rFonts w:ascii="Arial" w:hAnsi="Arial" w:cs="Arial"/>
                <w:b/>
                <w:sz w:val="20"/>
                <w:szCs w:val="20"/>
              </w:rPr>
              <w:t>3.8%</w:t>
            </w:r>
          </w:p>
        </w:tc>
      </w:tr>
    </w:tbl>
    <w:p w14:paraId="19A98F11" w14:textId="77777777" w:rsidR="00321E09" w:rsidRDefault="00321E09" w:rsidP="00DB7F02">
      <w:pPr>
        <w:rPr>
          <w:b/>
        </w:rPr>
      </w:pPr>
    </w:p>
    <w:p w14:paraId="18E23D85" w14:textId="77777777" w:rsidR="00321E09" w:rsidRPr="00146E50" w:rsidRDefault="00321E09" w:rsidP="00146E50">
      <w:pPr>
        <w:pStyle w:val="Heading3"/>
        <w:rPr>
          <w:sz w:val="22"/>
          <w:szCs w:val="22"/>
        </w:rPr>
      </w:pPr>
      <w:bookmarkStart w:id="104" w:name="_Toc415761826"/>
      <w:r>
        <w:rPr>
          <w:sz w:val="22"/>
          <w:szCs w:val="22"/>
        </w:rPr>
        <w:t xml:space="preserve">4.1.2 </w:t>
      </w:r>
      <w:r w:rsidRPr="00146E50">
        <w:rPr>
          <w:sz w:val="22"/>
          <w:szCs w:val="22"/>
        </w:rPr>
        <w:t>Hourly Load Impacts</w:t>
      </w:r>
      <w:bookmarkEnd w:id="104"/>
      <w:r w:rsidRPr="00146E50">
        <w:rPr>
          <w:sz w:val="22"/>
          <w:szCs w:val="22"/>
        </w:rPr>
        <w:t xml:space="preserve"> </w:t>
      </w:r>
    </w:p>
    <w:p w14:paraId="3A5ECF97" w14:textId="3A79EE29" w:rsidR="00321E09" w:rsidRDefault="00321E09" w:rsidP="00146E50">
      <w:r>
        <w:t>Table 4.</w:t>
      </w:r>
      <w:r w:rsidR="00F02657">
        <w:t>5</w:t>
      </w:r>
      <w:r>
        <w:t xml:space="preserve"> presents </w:t>
      </w:r>
      <w:r w:rsidR="00D051DC">
        <w:t xml:space="preserve">PG&amp;E’s </w:t>
      </w:r>
      <w:r>
        <w:t xml:space="preserve">hourly DBP load impacts at the program level in the manner required by the Protocols. </w:t>
      </w:r>
      <w:bookmarkStart w:id="105" w:name="OLE_LINK6"/>
      <w:bookmarkStart w:id="106" w:name="OLE_LINK7"/>
      <w:r w:rsidR="00D051DC">
        <w:t xml:space="preserve">The </w:t>
      </w:r>
      <w:r>
        <w:t xml:space="preserve">DBP load impacts were estimated from the individual customer regressions </w:t>
      </w:r>
      <w:r w:rsidR="00F02657">
        <w:t xml:space="preserve">for </w:t>
      </w:r>
      <w:r>
        <w:t xml:space="preserve">customers </w:t>
      </w:r>
      <w:r w:rsidR="00F02657">
        <w:t xml:space="preserve">enrolled at the time of </w:t>
      </w:r>
      <w:r w:rsidR="0070662B">
        <w:t>the</w:t>
      </w:r>
      <w:r w:rsidR="00F02657">
        <w:t xml:space="preserve"> event</w:t>
      </w:r>
      <w:r>
        <w:t>.</w:t>
      </w:r>
      <w:r w:rsidR="00AA1F13">
        <w:t xml:space="preserve"> The table only includes data and results from the events during w</w:t>
      </w:r>
      <w:r w:rsidR="003A3AC6">
        <w:t>hich</w:t>
      </w:r>
      <w:r w:rsidR="00AA1F13">
        <w:t xml:space="preserve"> all DBP customers were called.</w:t>
      </w:r>
      <w:r>
        <w:t xml:space="preserve"> </w:t>
      </w:r>
      <w:bookmarkEnd w:id="105"/>
      <w:bookmarkEnd w:id="106"/>
      <w:r w:rsidR="0092092B">
        <w:t>The h</w:t>
      </w:r>
      <w:r>
        <w:t>our</w:t>
      </w:r>
      <w:r w:rsidR="00E03F4A">
        <w:t>ly</w:t>
      </w:r>
      <w:r>
        <w:t xml:space="preserve"> load impact</w:t>
      </w:r>
      <w:r w:rsidR="0092092B">
        <w:t xml:space="preserve"> </w:t>
      </w:r>
      <w:r w:rsidR="00E03F4A">
        <w:t xml:space="preserve">on the average event day </w:t>
      </w:r>
      <w:r w:rsidR="0092092B">
        <w:t xml:space="preserve">ranges from </w:t>
      </w:r>
      <w:r w:rsidR="0070662B">
        <w:t>19.</w:t>
      </w:r>
      <w:r w:rsidR="00C915C8">
        <w:t>7</w:t>
      </w:r>
      <w:r w:rsidR="0092092B">
        <w:t xml:space="preserve"> MW to </w:t>
      </w:r>
      <w:r w:rsidR="0070662B">
        <w:t>28.</w:t>
      </w:r>
      <w:r w:rsidR="00C915C8">
        <w:t>4</w:t>
      </w:r>
      <w:r w:rsidR="0092092B">
        <w:t xml:space="preserve"> MW</w:t>
      </w:r>
      <w:r>
        <w:t xml:space="preserve">.  </w:t>
      </w:r>
    </w:p>
    <w:p w14:paraId="624E9724" w14:textId="77777777" w:rsidR="00321E09" w:rsidRDefault="00321E09" w:rsidP="00146E50"/>
    <w:p w14:paraId="7C091E42" w14:textId="1324717D" w:rsidR="00321E09" w:rsidRDefault="00321E09" w:rsidP="00146E50">
      <w:r w:rsidRPr="006C0BBF">
        <w:t xml:space="preserve">PG&amp;E has two very different types of customers in </w:t>
      </w:r>
      <w:r w:rsidR="00D051DC">
        <w:t xml:space="preserve">the </w:t>
      </w:r>
      <w:r w:rsidRPr="006C0BBF">
        <w:t xml:space="preserve">DBP: those who are dually enrolled in </w:t>
      </w:r>
      <w:r w:rsidR="00AA1F13">
        <w:t>another DR program (</w:t>
      </w:r>
      <w:r w:rsidR="00D051DC">
        <w:t xml:space="preserve">e.g., </w:t>
      </w:r>
      <w:r w:rsidRPr="006C0BBF">
        <w:t>B</w:t>
      </w:r>
      <w:r w:rsidR="00AA1F13">
        <w:t xml:space="preserve">ase Interruptible Program (BIP) or an aggregator program) </w:t>
      </w:r>
      <w:r w:rsidRPr="006C0BBF">
        <w:t xml:space="preserve">and those who are not. The </w:t>
      </w:r>
      <w:r w:rsidR="00AA1F13">
        <w:t xml:space="preserve">dually enrolled </w:t>
      </w:r>
      <w:r w:rsidRPr="006C0BBF">
        <w:t>customers</w:t>
      </w:r>
      <w:r w:rsidR="00AA1F13">
        <w:t xml:space="preserve">, particularly those </w:t>
      </w:r>
      <w:r w:rsidRPr="006C0BBF">
        <w:t xml:space="preserve">enrolled in both </w:t>
      </w:r>
      <w:r w:rsidR="00D051DC">
        <w:t xml:space="preserve">the </w:t>
      </w:r>
      <w:r w:rsidRPr="006C0BBF">
        <w:t xml:space="preserve">DBP and </w:t>
      </w:r>
      <w:r w:rsidR="00D051DC">
        <w:t xml:space="preserve">the </w:t>
      </w:r>
      <w:r w:rsidRPr="006C0BBF">
        <w:t>BIP</w:t>
      </w:r>
      <w:r w:rsidR="00AA1F13">
        <w:t>,</w:t>
      </w:r>
      <w:r w:rsidRPr="006C0BBF">
        <w:t xml:space="preserve"> tend to be larger and much more demand responsive than the customers who are only enrolled in </w:t>
      </w:r>
      <w:r w:rsidR="00D051DC">
        <w:t xml:space="preserve">the </w:t>
      </w:r>
      <w:r w:rsidRPr="006C0BBF">
        <w:t>DBP.</w:t>
      </w:r>
      <w:r w:rsidR="004E6640">
        <w:t xml:space="preserve"> On average, dually enrolled customers account for </w:t>
      </w:r>
      <w:r w:rsidR="0070662B">
        <w:t>2</w:t>
      </w:r>
      <w:r w:rsidR="00C915C8">
        <w:t>4.1</w:t>
      </w:r>
      <w:r w:rsidR="004E6640">
        <w:t xml:space="preserve"> MW of the </w:t>
      </w:r>
      <w:r w:rsidR="00C915C8">
        <w:t>25</w:t>
      </w:r>
      <w:r w:rsidR="004E6640">
        <w:t xml:space="preserve"> MW</w:t>
      </w:r>
      <w:r w:rsidR="004F6FF9">
        <w:t xml:space="preserve"> total </w:t>
      </w:r>
      <w:r w:rsidR="004E6640">
        <w:t>DBP load impact.</w:t>
      </w:r>
      <w:r w:rsidRPr="006C0BBF">
        <w:t xml:space="preserve"> </w:t>
      </w:r>
    </w:p>
    <w:p w14:paraId="04DAD68C" w14:textId="77777777" w:rsidR="00321E09" w:rsidRDefault="00321E09" w:rsidP="00082E39"/>
    <w:p w14:paraId="5A65630B" w14:textId="77777777" w:rsidR="00321E09" w:rsidRPr="00852320" w:rsidRDefault="00321E09" w:rsidP="0093144C">
      <w:pPr>
        <w:pStyle w:val="TableCaption"/>
        <w:keepNext/>
        <w:keepLines/>
      </w:pPr>
      <w:bookmarkStart w:id="107" w:name="_Toc415761878"/>
      <w:r w:rsidRPr="00852320">
        <w:t>Table 4.</w:t>
      </w:r>
      <w:r w:rsidR="00F02657" w:rsidRPr="00852320">
        <w:t>5</w:t>
      </w:r>
      <w:r w:rsidRPr="00852320">
        <w:t xml:space="preserve">: DBP Hourly Load Impacts for </w:t>
      </w:r>
      <w:r w:rsidR="000C3E81" w:rsidRPr="00852320">
        <w:t xml:space="preserve">the </w:t>
      </w:r>
      <w:r w:rsidRPr="00852320">
        <w:t>A</w:t>
      </w:r>
      <w:r w:rsidR="000C3E81" w:rsidRPr="00852320">
        <w:t>verage</w:t>
      </w:r>
      <w:r w:rsidRPr="00852320">
        <w:t xml:space="preserve"> Event Day</w:t>
      </w:r>
      <w:r w:rsidR="00E32794" w:rsidRPr="00852320">
        <w:t xml:space="preserve">, </w:t>
      </w:r>
      <w:r w:rsidRPr="00852320">
        <w:rPr>
          <w:i/>
        </w:rPr>
        <w:t>PG&amp;E</w:t>
      </w:r>
      <w:bookmarkEnd w:id="107"/>
    </w:p>
    <w:p w14:paraId="7E9580F2" w14:textId="0438FC06" w:rsidR="00321E09" w:rsidRPr="0093144C" w:rsidRDefault="00252BB0" w:rsidP="00EF7463">
      <w:pPr>
        <w:keepNext/>
        <w:keepLines/>
        <w:widowControl w:val="0"/>
      </w:pPr>
      <w:r w:rsidRPr="00252BB0">
        <w:rPr>
          <w:noProof/>
        </w:rPr>
        <w:drawing>
          <wp:inline distT="0" distB="0" distL="0" distR="0" wp14:anchorId="4D1701A2" wp14:editId="17780277">
            <wp:extent cx="5486400" cy="45150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4515095"/>
                    </a:xfrm>
                    <a:prstGeom prst="rect">
                      <a:avLst/>
                    </a:prstGeom>
                    <a:noFill/>
                    <a:ln>
                      <a:noFill/>
                    </a:ln>
                  </pic:spPr>
                </pic:pic>
              </a:graphicData>
            </a:graphic>
          </wp:inline>
        </w:drawing>
      </w:r>
    </w:p>
    <w:p w14:paraId="4880CFF4" w14:textId="77777777" w:rsidR="00321E09" w:rsidRDefault="00321E09" w:rsidP="00082E39"/>
    <w:p w14:paraId="10B6B037" w14:textId="4B298D1E" w:rsidR="00321E09" w:rsidRDefault="00321E09" w:rsidP="003D3D4C">
      <w:r>
        <w:t xml:space="preserve">Figure 4.1 illustrates the </w:t>
      </w:r>
      <w:r w:rsidR="00265B5B">
        <w:t xml:space="preserve">hourly </w:t>
      </w:r>
      <w:r>
        <w:t>reference load</w:t>
      </w:r>
      <w:r w:rsidR="00265B5B">
        <w:t xml:space="preserve">, </w:t>
      </w:r>
      <w:r>
        <w:t>observed load</w:t>
      </w:r>
      <w:r w:rsidR="00265B5B">
        <w:t>, and load impacts</w:t>
      </w:r>
      <w:r>
        <w:t xml:space="preserve"> for the </w:t>
      </w:r>
      <w:r w:rsidR="00265B5B">
        <w:t xml:space="preserve">average </w:t>
      </w:r>
      <w:r>
        <w:t>DBP event</w:t>
      </w:r>
      <w:r w:rsidR="00265B5B">
        <w:t xml:space="preserve"> day</w:t>
      </w:r>
      <w:r w:rsidR="000F5952">
        <w:t>, including only the events during which all customers were called</w:t>
      </w:r>
      <w:r>
        <w:t>.</w:t>
      </w:r>
      <w:r w:rsidR="00265B5B">
        <w:t xml:space="preserve"> The scale for the load impacts is shown on the right</w:t>
      </w:r>
      <w:r w:rsidR="00871568">
        <w:t>-side</w:t>
      </w:r>
      <w:r w:rsidR="00265B5B">
        <w:t xml:space="preserve"> y-axis.</w:t>
      </w:r>
      <w:r>
        <w:t xml:space="preserve"> </w:t>
      </w:r>
      <w:r w:rsidR="00C23BD6">
        <w:t xml:space="preserve">Figure 4.2 shows the variability of estimated load impacts across </w:t>
      </w:r>
      <w:r w:rsidR="00265B5B">
        <w:t xml:space="preserve">the </w:t>
      </w:r>
      <w:r w:rsidR="00B91726">
        <w:t>twelve</w:t>
      </w:r>
      <w:r w:rsidR="00265B5B">
        <w:t xml:space="preserve"> </w:t>
      </w:r>
      <w:r w:rsidR="00C23BD6">
        <w:t>event</w:t>
      </w:r>
      <w:r w:rsidR="00265B5B">
        <w:t xml:space="preserve"> day</w:t>
      </w:r>
      <w:r w:rsidR="00C23BD6">
        <w:t xml:space="preserve">s. </w:t>
      </w:r>
    </w:p>
    <w:p w14:paraId="4B92E906" w14:textId="77777777" w:rsidR="00321E09" w:rsidRDefault="00321E09" w:rsidP="003D3D4C"/>
    <w:p w14:paraId="5E026A1D" w14:textId="665E9B6B" w:rsidR="00321E09" w:rsidRDefault="00321E09" w:rsidP="003D3D4C">
      <w:r>
        <w:t xml:space="preserve">The full set of tables required by the Protocols, including tables for each </w:t>
      </w:r>
      <w:r w:rsidR="00D051DC">
        <w:t>LCA</w:t>
      </w:r>
      <w:r>
        <w:t>, are in the Excel file attached as an Appendix to this report.</w:t>
      </w:r>
    </w:p>
    <w:p w14:paraId="1DADB9B2" w14:textId="77777777" w:rsidR="000F5952" w:rsidRDefault="000F5952" w:rsidP="003D3D4C"/>
    <w:p w14:paraId="2CB9AF5E" w14:textId="77777777" w:rsidR="00321E09" w:rsidRPr="0097115E" w:rsidRDefault="00321E09" w:rsidP="00B91726">
      <w:pPr>
        <w:pStyle w:val="FigureCaption"/>
        <w:keepNext/>
        <w:keepLines/>
      </w:pPr>
      <w:bookmarkStart w:id="108" w:name="_Toc415761913"/>
      <w:r w:rsidRPr="0097115E">
        <w:lastRenderedPageBreak/>
        <w:t>Figure 4.1: DBP Load Impacts</w:t>
      </w:r>
      <w:r w:rsidR="003A3AC6">
        <w:t xml:space="preserve"> for the Average Event Day</w:t>
      </w:r>
      <w:r w:rsidR="00E32794" w:rsidRPr="0097115E">
        <w:t xml:space="preserve">, </w:t>
      </w:r>
      <w:r w:rsidRPr="0097115E">
        <w:rPr>
          <w:i/>
        </w:rPr>
        <w:t>PG&amp;E</w:t>
      </w:r>
      <w:bookmarkEnd w:id="108"/>
    </w:p>
    <w:p w14:paraId="6A896A7C" w14:textId="201DC6D6" w:rsidR="00321E09" w:rsidRPr="0093144C" w:rsidRDefault="00C915C8" w:rsidP="00B91726">
      <w:pPr>
        <w:keepNext/>
        <w:keepLines/>
        <w:jc w:val="center"/>
      </w:pPr>
      <w:r>
        <w:rPr>
          <w:noProof/>
        </w:rPr>
        <w:drawing>
          <wp:inline distT="0" distB="0" distL="0" distR="0" wp14:anchorId="3161CD98" wp14:editId="6917FEEA">
            <wp:extent cx="5486400" cy="398145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4C6FFDF" w14:textId="77777777" w:rsidR="000F5952" w:rsidRDefault="000F5952" w:rsidP="000F5952">
      <w:pPr>
        <w:pStyle w:val="FigureCaption"/>
      </w:pPr>
    </w:p>
    <w:p w14:paraId="5152EC45" w14:textId="77777777" w:rsidR="00C23BD6" w:rsidRPr="0097115E" w:rsidRDefault="00C23BD6" w:rsidP="0097115E">
      <w:pPr>
        <w:pStyle w:val="FigureCaption"/>
        <w:keepNext/>
        <w:keepLines/>
      </w:pPr>
      <w:bookmarkStart w:id="109" w:name="_Toc415761914"/>
      <w:r w:rsidRPr="0097115E">
        <w:lastRenderedPageBreak/>
        <w:t>Figure 4.2: Hourly Load Impacts by Event</w:t>
      </w:r>
      <w:r w:rsidR="00E32794" w:rsidRPr="0097115E">
        <w:t xml:space="preserve">, </w:t>
      </w:r>
      <w:r w:rsidRPr="0097115E">
        <w:rPr>
          <w:i/>
        </w:rPr>
        <w:t>PG&amp;E DBP</w:t>
      </w:r>
      <w:bookmarkEnd w:id="109"/>
    </w:p>
    <w:p w14:paraId="753F003C" w14:textId="1BEC297C" w:rsidR="00C23BD6" w:rsidRPr="00B846C5" w:rsidRDefault="00C915C8" w:rsidP="0097115E">
      <w:pPr>
        <w:keepNext/>
        <w:keepLines/>
        <w:jc w:val="center"/>
      </w:pPr>
      <w:r>
        <w:rPr>
          <w:noProof/>
        </w:rPr>
        <w:drawing>
          <wp:inline distT="0" distB="0" distL="0" distR="0" wp14:anchorId="4E00280D" wp14:editId="06DF6DE5">
            <wp:extent cx="5486400" cy="39814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CF8F097" w14:textId="77777777" w:rsidR="00321E09" w:rsidRPr="008943AD" w:rsidRDefault="00E32794" w:rsidP="008943AD">
      <w:pPr>
        <w:pStyle w:val="Heading2"/>
      </w:pPr>
      <w:r>
        <w:br w:type="page"/>
      </w:r>
      <w:bookmarkStart w:id="110" w:name="_Toc415761827"/>
      <w:r w:rsidR="00321E09" w:rsidRPr="00423754">
        <w:lastRenderedPageBreak/>
        <w:t>4.2 SCE Load Impacts</w:t>
      </w:r>
      <w:bookmarkEnd w:id="110"/>
    </w:p>
    <w:p w14:paraId="45328ED2" w14:textId="60B29C05" w:rsidR="00321E09" w:rsidRPr="00146E50" w:rsidRDefault="00321E09" w:rsidP="00BB7A34">
      <w:pPr>
        <w:pStyle w:val="Heading3"/>
        <w:rPr>
          <w:sz w:val="22"/>
          <w:szCs w:val="22"/>
        </w:rPr>
      </w:pPr>
      <w:bookmarkStart w:id="111" w:name="_Toc415761828"/>
      <w:r>
        <w:rPr>
          <w:sz w:val="22"/>
          <w:szCs w:val="22"/>
        </w:rPr>
        <w:t xml:space="preserve">4.2.1 </w:t>
      </w:r>
      <w:r w:rsidRPr="00146E50">
        <w:rPr>
          <w:sz w:val="22"/>
          <w:szCs w:val="22"/>
        </w:rPr>
        <w:t xml:space="preserve">Average </w:t>
      </w:r>
      <w:r w:rsidR="002B3A3B">
        <w:rPr>
          <w:sz w:val="22"/>
          <w:szCs w:val="22"/>
        </w:rPr>
        <w:t>Event-</w:t>
      </w:r>
      <w:r w:rsidRPr="00146E50">
        <w:rPr>
          <w:sz w:val="22"/>
          <w:szCs w:val="22"/>
        </w:rPr>
        <w:t>Hour Load Impacts by Industry Group and LCA</w:t>
      </w:r>
      <w:bookmarkEnd w:id="111"/>
    </w:p>
    <w:p w14:paraId="3F9DF072" w14:textId="4B451D8D" w:rsidR="00321E09" w:rsidRDefault="00003F3D" w:rsidP="00C70F01">
      <w:r>
        <w:t>Table 4.</w:t>
      </w:r>
      <w:r w:rsidR="00B3661A">
        <w:t>6</w:t>
      </w:r>
      <w:r w:rsidR="00321E09">
        <w:t xml:space="preserve"> summarizes average hourly reference loads and load impacts at the program level for each of SCE’s </w:t>
      </w:r>
      <w:r w:rsidR="00EE3732">
        <w:t>seven</w:t>
      </w:r>
      <w:r w:rsidR="00321E09">
        <w:t xml:space="preserve"> DBP events.</w:t>
      </w:r>
      <w:r w:rsidR="00C85CD7">
        <w:t xml:space="preserve"> The top panel shows the results for all customers and the bottom panel shows the results for customers who were not dually enrolled in another DR program. </w:t>
      </w:r>
      <w:r w:rsidR="00321E09">
        <w:t xml:space="preserve">Across all events, the average hourly </w:t>
      </w:r>
      <w:r w:rsidR="00535535">
        <w:t xml:space="preserve">load impact was approximately </w:t>
      </w:r>
      <w:r w:rsidR="00EE3732">
        <w:t>106.7</w:t>
      </w:r>
      <w:r w:rsidR="00321E09">
        <w:t xml:space="preserve"> MW. The load impacts </w:t>
      </w:r>
      <w:r w:rsidR="00265B5B">
        <w:t xml:space="preserve">varied </w:t>
      </w:r>
      <w:r w:rsidR="00321E09">
        <w:t>across event days, with a low of</w:t>
      </w:r>
      <w:r w:rsidR="005F4F6A">
        <w:t xml:space="preserve"> </w:t>
      </w:r>
      <w:r w:rsidR="00EE3732">
        <w:t>51.2</w:t>
      </w:r>
      <w:r w:rsidR="00321E09">
        <w:t xml:space="preserve"> MW, a high of </w:t>
      </w:r>
      <w:r w:rsidR="00CB11BA">
        <w:t>14</w:t>
      </w:r>
      <w:r w:rsidR="00EE3732">
        <w:t>2</w:t>
      </w:r>
      <w:r w:rsidR="00CB11BA">
        <w:t>.</w:t>
      </w:r>
      <w:r w:rsidR="00EE3732">
        <w:t>9</w:t>
      </w:r>
      <w:r w:rsidR="00321E09">
        <w:t xml:space="preserve"> MW, and a standard deviation of </w:t>
      </w:r>
      <w:r w:rsidR="00EE3732">
        <w:t>35.6</w:t>
      </w:r>
      <w:r w:rsidR="00CB11BA">
        <w:t xml:space="preserve"> </w:t>
      </w:r>
      <w:r w:rsidR="00321E09">
        <w:t xml:space="preserve">MW. On average, the load impacts were </w:t>
      </w:r>
      <w:r w:rsidR="005F4F6A">
        <w:t>1</w:t>
      </w:r>
      <w:r w:rsidR="00EE3732">
        <w:t>3.1</w:t>
      </w:r>
      <w:r w:rsidR="00321E09">
        <w:t xml:space="preserve"> percent of the total reference load.</w:t>
      </w:r>
      <w:r w:rsidR="00C85CD7">
        <w:t xml:space="preserve"> The vast majority of the load impact came from customers dually enrolled in another DR program.</w:t>
      </w:r>
    </w:p>
    <w:p w14:paraId="291E1D4F" w14:textId="77777777" w:rsidR="00321E09" w:rsidRDefault="00321E09" w:rsidP="00C70F01"/>
    <w:p w14:paraId="035715A7" w14:textId="7308EF0A" w:rsidR="00321E09" w:rsidRPr="00852320" w:rsidRDefault="00321E09" w:rsidP="00413FAA">
      <w:pPr>
        <w:pStyle w:val="TableCaption"/>
        <w:keepNext/>
        <w:keepLines/>
      </w:pPr>
      <w:bookmarkStart w:id="112" w:name="_Toc415761879"/>
      <w:r w:rsidRPr="00852320">
        <w:t>Table 4.</w:t>
      </w:r>
      <w:r w:rsidR="006C0BBF" w:rsidRPr="00852320">
        <w:t>6</w:t>
      </w:r>
      <w:r w:rsidRPr="00852320">
        <w:t>: Average</w:t>
      </w:r>
      <w:r w:rsidR="00370C78">
        <w:t xml:space="preserve"> Event-</w:t>
      </w:r>
      <w:r w:rsidRPr="00852320">
        <w:t xml:space="preserve">Hour Load Impacts by Event, </w:t>
      </w:r>
      <w:r w:rsidRPr="00852320">
        <w:rPr>
          <w:i/>
        </w:rPr>
        <w:t>SCE</w:t>
      </w:r>
      <w:bookmarkEnd w:id="1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0"/>
        <w:gridCol w:w="761"/>
        <w:gridCol w:w="1106"/>
        <w:gridCol w:w="1274"/>
        <w:gridCol w:w="1205"/>
        <w:gridCol w:w="1150"/>
        <w:gridCol w:w="1190"/>
        <w:gridCol w:w="784"/>
      </w:tblGrid>
      <w:tr w:rsidR="008549BC" w14:paraId="5F5BD55B" w14:textId="77777777" w:rsidTr="0005199B">
        <w:trPr>
          <w:jc w:val="center"/>
        </w:trPr>
        <w:tc>
          <w:tcPr>
            <w:tcW w:w="0" w:type="auto"/>
            <w:shd w:val="clear" w:color="auto" w:fill="D9E2F3"/>
            <w:vAlign w:val="center"/>
          </w:tcPr>
          <w:p w14:paraId="3EE652C1" w14:textId="77777777" w:rsidR="007933BB" w:rsidRPr="007E0A27" w:rsidRDefault="007933BB" w:rsidP="007E0A27">
            <w:pPr>
              <w:keepNext/>
              <w:keepLines/>
              <w:jc w:val="center"/>
              <w:rPr>
                <w:rFonts w:ascii="Arial" w:hAnsi="Arial" w:cs="Arial"/>
                <w:b/>
                <w:sz w:val="20"/>
                <w:szCs w:val="20"/>
              </w:rPr>
            </w:pPr>
            <w:r>
              <w:rPr>
                <w:rFonts w:ascii="Arial" w:hAnsi="Arial" w:cs="Arial"/>
                <w:b/>
                <w:sz w:val="20"/>
                <w:szCs w:val="20"/>
              </w:rPr>
              <w:t>Customer Group</w:t>
            </w:r>
          </w:p>
        </w:tc>
        <w:tc>
          <w:tcPr>
            <w:tcW w:w="0" w:type="auto"/>
            <w:shd w:val="clear" w:color="auto" w:fill="D9E2F3"/>
            <w:vAlign w:val="center"/>
          </w:tcPr>
          <w:p w14:paraId="25017A9A"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Event</w:t>
            </w:r>
          </w:p>
        </w:tc>
        <w:tc>
          <w:tcPr>
            <w:tcW w:w="0" w:type="auto"/>
            <w:shd w:val="clear" w:color="auto" w:fill="D9E2F3"/>
            <w:vAlign w:val="center"/>
          </w:tcPr>
          <w:p w14:paraId="44C91A2C"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Date</w:t>
            </w:r>
          </w:p>
        </w:tc>
        <w:tc>
          <w:tcPr>
            <w:tcW w:w="0" w:type="auto"/>
            <w:shd w:val="clear" w:color="auto" w:fill="D9E2F3"/>
            <w:vAlign w:val="center"/>
          </w:tcPr>
          <w:p w14:paraId="71FDD49C"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Day of Week</w:t>
            </w:r>
          </w:p>
        </w:tc>
        <w:tc>
          <w:tcPr>
            <w:tcW w:w="0" w:type="auto"/>
            <w:shd w:val="clear" w:color="auto" w:fill="D9E2F3"/>
            <w:vAlign w:val="center"/>
          </w:tcPr>
          <w:p w14:paraId="31D26194"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6EF63CCF"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Observed Load (MW)</w:t>
            </w:r>
          </w:p>
        </w:tc>
        <w:tc>
          <w:tcPr>
            <w:tcW w:w="0" w:type="auto"/>
            <w:shd w:val="clear" w:color="auto" w:fill="D9E2F3"/>
            <w:vAlign w:val="center"/>
          </w:tcPr>
          <w:p w14:paraId="7787CD6D"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2FE0D518"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 LI</w:t>
            </w:r>
          </w:p>
        </w:tc>
      </w:tr>
      <w:tr w:rsidR="00EE3732" w14:paraId="27DAFEAC" w14:textId="77777777" w:rsidTr="001D2BA7">
        <w:trPr>
          <w:jc w:val="center"/>
        </w:trPr>
        <w:tc>
          <w:tcPr>
            <w:tcW w:w="0" w:type="auto"/>
            <w:vMerge w:val="restart"/>
            <w:vAlign w:val="center"/>
          </w:tcPr>
          <w:p w14:paraId="6114E384" w14:textId="77777777" w:rsidR="00EE3732" w:rsidRPr="007933BB" w:rsidRDefault="00EE3732" w:rsidP="00EE3732">
            <w:pPr>
              <w:keepNext/>
              <w:keepLines/>
              <w:jc w:val="center"/>
              <w:rPr>
                <w:rFonts w:ascii="Arial" w:hAnsi="Arial" w:cs="Arial"/>
                <w:b/>
                <w:sz w:val="20"/>
                <w:szCs w:val="20"/>
              </w:rPr>
            </w:pPr>
            <w:r w:rsidRPr="007933BB">
              <w:rPr>
                <w:rFonts w:ascii="Arial" w:hAnsi="Arial" w:cs="Arial"/>
                <w:b/>
                <w:sz w:val="20"/>
                <w:szCs w:val="20"/>
              </w:rPr>
              <w:t>All</w:t>
            </w:r>
          </w:p>
        </w:tc>
        <w:tc>
          <w:tcPr>
            <w:tcW w:w="0" w:type="auto"/>
          </w:tcPr>
          <w:p w14:paraId="79692886" w14:textId="77777777" w:rsidR="00EE3732" w:rsidRPr="007E0A27" w:rsidRDefault="00EE3732" w:rsidP="00EE3732">
            <w:pPr>
              <w:keepNext/>
              <w:keepLines/>
              <w:jc w:val="center"/>
              <w:rPr>
                <w:rFonts w:ascii="Arial" w:hAnsi="Arial" w:cs="Arial"/>
                <w:sz w:val="20"/>
                <w:szCs w:val="20"/>
              </w:rPr>
            </w:pPr>
            <w:bookmarkStart w:id="113" w:name="_Hlk250721853"/>
            <w:r w:rsidRPr="007E0A27">
              <w:rPr>
                <w:rFonts w:ascii="Arial" w:hAnsi="Arial" w:cs="Arial"/>
                <w:sz w:val="20"/>
                <w:szCs w:val="20"/>
              </w:rPr>
              <w:t>1</w:t>
            </w:r>
          </w:p>
        </w:tc>
        <w:tc>
          <w:tcPr>
            <w:tcW w:w="0" w:type="auto"/>
          </w:tcPr>
          <w:p w14:paraId="52449A42" w14:textId="36A02A07" w:rsidR="00EE3732" w:rsidRPr="007E0A27" w:rsidRDefault="00EE3732" w:rsidP="00EE3732">
            <w:pPr>
              <w:keepNext/>
              <w:keepLines/>
              <w:rPr>
                <w:rFonts w:ascii="Arial" w:hAnsi="Arial" w:cs="Arial"/>
                <w:sz w:val="20"/>
                <w:szCs w:val="20"/>
              </w:rPr>
            </w:pPr>
            <w:r>
              <w:rPr>
                <w:rFonts w:ascii="Arial" w:hAnsi="Arial" w:cs="Arial"/>
                <w:sz w:val="20"/>
                <w:szCs w:val="20"/>
              </w:rPr>
              <w:t>7/14/2014</w:t>
            </w:r>
          </w:p>
        </w:tc>
        <w:tc>
          <w:tcPr>
            <w:tcW w:w="0" w:type="auto"/>
            <w:vAlign w:val="bottom"/>
          </w:tcPr>
          <w:p w14:paraId="2CDEC04D" w14:textId="5CF9EB72" w:rsidR="00EE3732" w:rsidRPr="007E0A27"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78841A25" w14:textId="1BAE5724" w:rsidR="00EE3732" w:rsidRPr="00EE3732" w:rsidRDefault="00EE3732" w:rsidP="00EE3732">
            <w:pPr>
              <w:jc w:val="center"/>
              <w:rPr>
                <w:rFonts w:ascii="Arial" w:hAnsi="Arial" w:cs="Arial"/>
                <w:sz w:val="20"/>
                <w:szCs w:val="20"/>
              </w:rPr>
            </w:pPr>
            <w:r w:rsidRPr="00EE3732">
              <w:rPr>
                <w:rFonts w:ascii="Arial" w:hAnsi="Arial" w:cs="Arial"/>
                <w:sz w:val="20"/>
                <w:szCs w:val="20"/>
              </w:rPr>
              <w:t>890.0</w:t>
            </w:r>
          </w:p>
        </w:tc>
        <w:tc>
          <w:tcPr>
            <w:tcW w:w="0" w:type="auto"/>
          </w:tcPr>
          <w:p w14:paraId="7EEBE4EA" w14:textId="7D730875" w:rsidR="00EE3732" w:rsidRPr="00EE3732" w:rsidRDefault="00EE3732" w:rsidP="00EE3732">
            <w:pPr>
              <w:jc w:val="center"/>
              <w:rPr>
                <w:rFonts w:ascii="Arial" w:hAnsi="Arial" w:cs="Arial"/>
                <w:sz w:val="20"/>
                <w:szCs w:val="20"/>
              </w:rPr>
            </w:pPr>
            <w:r w:rsidRPr="00EE3732">
              <w:rPr>
                <w:rFonts w:ascii="Arial" w:hAnsi="Arial" w:cs="Arial"/>
                <w:sz w:val="20"/>
                <w:szCs w:val="20"/>
              </w:rPr>
              <w:t>747.1</w:t>
            </w:r>
          </w:p>
        </w:tc>
        <w:tc>
          <w:tcPr>
            <w:tcW w:w="0" w:type="auto"/>
          </w:tcPr>
          <w:p w14:paraId="3AB9DF5E" w14:textId="62F052C1" w:rsidR="00EE3732" w:rsidRPr="00EE3732" w:rsidRDefault="00EE3732" w:rsidP="00EE3732">
            <w:pPr>
              <w:jc w:val="center"/>
              <w:rPr>
                <w:rFonts w:ascii="Arial" w:hAnsi="Arial" w:cs="Arial"/>
                <w:sz w:val="20"/>
                <w:szCs w:val="20"/>
              </w:rPr>
            </w:pPr>
            <w:r w:rsidRPr="00EE3732">
              <w:rPr>
                <w:rFonts w:ascii="Arial" w:hAnsi="Arial" w:cs="Arial"/>
                <w:sz w:val="20"/>
                <w:szCs w:val="20"/>
              </w:rPr>
              <w:t>142.9</w:t>
            </w:r>
          </w:p>
        </w:tc>
        <w:tc>
          <w:tcPr>
            <w:tcW w:w="0" w:type="auto"/>
          </w:tcPr>
          <w:p w14:paraId="07BAE475" w14:textId="7B25F823" w:rsidR="00EE3732" w:rsidRPr="00EE3732" w:rsidRDefault="00EE3732" w:rsidP="00EE3732">
            <w:pPr>
              <w:jc w:val="center"/>
              <w:rPr>
                <w:rFonts w:ascii="Arial" w:hAnsi="Arial" w:cs="Arial"/>
                <w:sz w:val="20"/>
                <w:szCs w:val="20"/>
              </w:rPr>
            </w:pPr>
            <w:r w:rsidRPr="00EE3732">
              <w:rPr>
                <w:rFonts w:ascii="Arial" w:hAnsi="Arial" w:cs="Arial"/>
                <w:sz w:val="20"/>
                <w:szCs w:val="20"/>
              </w:rPr>
              <w:t>16.1%</w:t>
            </w:r>
          </w:p>
        </w:tc>
      </w:tr>
      <w:tr w:rsidR="00EE3732" w14:paraId="6945A86A" w14:textId="77777777" w:rsidTr="001D2BA7">
        <w:trPr>
          <w:jc w:val="center"/>
        </w:trPr>
        <w:tc>
          <w:tcPr>
            <w:tcW w:w="0" w:type="auto"/>
            <w:vMerge/>
            <w:vAlign w:val="center"/>
          </w:tcPr>
          <w:p w14:paraId="1768DFBC" w14:textId="77777777" w:rsidR="00EE3732" w:rsidRPr="007933BB" w:rsidRDefault="00EE3732" w:rsidP="00EE3732">
            <w:pPr>
              <w:keepNext/>
              <w:keepLines/>
              <w:jc w:val="center"/>
              <w:rPr>
                <w:rFonts w:ascii="Arial" w:hAnsi="Arial" w:cs="Arial"/>
                <w:b/>
                <w:sz w:val="20"/>
                <w:szCs w:val="20"/>
              </w:rPr>
            </w:pPr>
          </w:p>
        </w:tc>
        <w:tc>
          <w:tcPr>
            <w:tcW w:w="0" w:type="auto"/>
          </w:tcPr>
          <w:p w14:paraId="2D5BDB35" w14:textId="77777777" w:rsidR="00EE3732" w:rsidRPr="007E0A27" w:rsidRDefault="00EE3732" w:rsidP="00EE3732">
            <w:pPr>
              <w:keepNext/>
              <w:keepLines/>
              <w:jc w:val="center"/>
              <w:rPr>
                <w:rFonts w:ascii="Arial" w:hAnsi="Arial" w:cs="Arial"/>
                <w:sz w:val="20"/>
                <w:szCs w:val="20"/>
              </w:rPr>
            </w:pPr>
            <w:r>
              <w:rPr>
                <w:rFonts w:ascii="Arial" w:hAnsi="Arial" w:cs="Arial"/>
                <w:sz w:val="20"/>
                <w:szCs w:val="20"/>
              </w:rPr>
              <w:t>2</w:t>
            </w:r>
          </w:p>
        </w:tc>
        <w:tc>
          <w:tcPr>
            <w:tcW w:w="0" w:type="auto"/>
          </w:tcPr>
          <w:p w14:paraId="37F544AA" w14:textId="39791E0B" w:rsidR="00EE3732" w:rsidRPr="007E0A27" w:rsidRDefault="00EE3732" w:rsidP="00EE3732">
            <w:pPr>
              <w:keepNext/>
              <w:keepLines/>
              <w:rPr>
                <w:rFonts w:ascii="Arial" w:hAnsi="Arial" w:cs="Arial"/>
                <w:sz w:val="20"/>
                <w:szCs w:val="20"/>
              </w:rPr>
            </w:pPr>
            <w:r>
              <w:rPr>
                <w:rFonts w:ascii="Arial" w:hAnsi="Arial" w:cs="Arial"/>
                <w:sz w:val="20"/>
                <w:szCs w:val="20"/>
              </w:rPr>
              <w:t>9/8/2014</w:t>
            </w:r>
          </w:p>
        </w:tc>
        <w:tc>
          <w:tcPr>
            <w:tcW w:w="0" w:type="auto"/>
            <w:vAlign w:val="bottom"/>
          </w:tcPr>
          <w:p w14:paraId="57580160" w14:textId="3E2BC528" w:rsidR="00EE3732"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6639B4FC" w14:textId="67F1DB6C" w:rsidR="00EE3732" w:rsidRPr="00EE3732" w:rsidRDefault="00EE3732" w:rsidP="00EE3732">
            <w:pPr>
              <w:jc w:val="center"/>
              <w:rPr>
                <w:rFonts w:ascii="Arial" w:hAnsi="Arial" w:cs="Arial"/>
                <w:sz w:val="20"/>
                <w:szCs w:val="20"/>
              </w:rPr>
            </w:pPr>
            <w:r w:rsidRPr="00EE3732">
              <w:rPr>
                <w:rFonts w:ascii="Arial" w:hAnsi="Arial" w:cs="Arial"/>
                <w:sz w:val="20"/>
                <w:szCs w:val="20"/>
              </w:rPr>
              <w:t>809.5</w:t>
            </w:r>
          </w:p>
        </w:tc>
        <w:tc>
          <w:tcPr>
            <w:tcW w:w="0" w:type="auto"/>
          </w:tcPr>
          <w:p w14:paraId="4EE12414" w14:textId="57D8BC4B" w:rsidR="00EE3732" w:rsidRPr="00EE3732" w:rsidRDefault="00EE3732" w:rsidP="00EE3732">
            <w:pPr>
              <w:jc w:val="center"/>
              <w:rPr>
                <w:rFonts w:ascii="Arial" w:hAnsi="Arial" w:cs="Arial"/>
                <w:sz w:val="20"/>
                <w:szCs w:val="20"/>
              </w:rPr>
            </w:pPr>
            <w:r w:rsidRPr="00EE3732">
              <w:rPr>
                <w:rFonts w:ascii="Arial" w:hAnsi="Arial" w:cs="Arial"/>
                <w:sz w:val="20"/>
                <w:szCs w:val="20"/>
              </w:rPr>
              <w:t>666.8</w:t>
            </w:r>
          </w:p>
        </w:tc>
        <w:tc>
          <w:tcPr>
            <w:tcW w:w="0" w:type="auto"/>
          </w:tcPr>
          <w:p w14:paraId="2E31E8C3" w14:textId="474BC7FD" w:rsidR="00EE3732" w:rsidRPr="00EE3732" w:rsidRDefault="00EE3732" w:rsidP="00EE3732">
            <w:pPr>
              <w:jc w:val="center"/>
              <w:rPr>
                <w:rFonts w:ascii="Arial" w:hAnsi="Arial" w:cs="Arial"/>
                <w:sz w:val="20"/>
                <w:szCs w:val="20"/>
              </w:rPr>
            </w:pPr>
            <w:r w:rsidRPr="00EE3732">
              <w:rPr>
                <w:rFonts w:ascii="Arial" w:hAnsi="Arial" w:cs="Arial"/>
                <w:sz w:val="20"/>
                <w:szCs w:val="20"/>
              </w:rPr>
              <w:t>142.6</w:t>
            </w:r>
          </w:p>
        </w:tc>
        <w:tc>
          <w:tcPr>
            <w:tcW w:w="0" w:type="auto"/>
          </w:tcPr>
          <w:p w14:paraId="4BBB3DFB" w14:textId="6D9D0EE6" w:rsidR="00EE3732" w:rsidRPr="00EE3732" w:rsidRDefault="00EE3732" w:rsidP="00EE3732">
            <w:pPr>
              <w:jc w:val="center"/>
              <w:rPr>
                <w:rFonts w:ascii="Arial" w:hAnsi="Arial" w:cs="Arial"/>
                <w:sz w:val="20"/>
                <w:szCs w:val="20"/>
              </w:rPr>
            </w:pPr>
            <w:r w:rsidRPr="00EE3732">
              <w:rPr>
                <w:rFonts w:ascii="Arial" w:hAnsi="Arial" w:cs="Arial"/>
                <w:sz w:val="20"/>
                <w:szCs w:val="20"/>
              </w:rPr>
              <w:t>17.6%</w:t>
            </w:r>
          </w:p>
        </w:tc>
      </w:tr>
      <w:tr w:rsidR="00EE3732" w14:paraId="4552E6BE" w14:textId="77777777" w:rsidTr="001D2BA7">
        <w:trPr>
          <w:jc w:val="center"/>
        </w:trPr>
        <w:tc>
          <w:tcPr>
            <w:tcW w:w="0" w:type="auto"/>
            <w:vMerge/>
            <w:vAlign w:val="center"/>
          </w:tcPr>
          <w:p w14:paraId="305AC95E" w14:textId="77777777" w:rsidR="00EE3732" w:rsidRPr="007933BB" w:rsidRDefault="00EE3732" w:rsidP="00EE3732">
            <w:pPr>
              <w:keepNext/>
              <w:keepLines/>
              <w:jc w:val="center"/>
              <w:rPr>
                <w:rFonts w:ascii="Arial" w:hAnsi="Arial" w:cs="Arial"/>
                <w:b/>
                <w:sz w:val="20"/>
                <w:szCs w:val="20"/>
              </w:rPr>
            </w:pPr>
          </w:p>
        </w:tc>
        <w:bookmarkEnd w:id="113"/>
        <w:tc>
          <w:tcPr>
            <w:tcW w:w="0" w:type="auto"/>
          </w:tcPr>
          <w:p w14:paraId="25EBF357" w14:textId="77777777" w:rsidR="00EE3732" w:rsidRPr="007E0A27" w:rsidRDefault="00EE3732" w:rsidP="00EE3732">
            <w:pPr>
              <w:keepNext/>
              <w:keepLines/>
              <w:jc w:val="center"/>
              <w:rPr>
                <w:rFonts w:ascii="Arial" w:hAnsi="Arial" w:cs="Arial"/>
                <w:sz w:val="20"/>
                <w:szCs w:val="20"/>
              </w:rPr>
            </w:pPr>
            <w:r>
              <w:rPr>
                <w:rFonts w:ascii="Arial" w:hAnsi="Arial" w:cs="Arial"/>
                <w:sz w:val="20"/>
                <w:szCs w:val="20"/>
              </w:rPr>
              <w:t>3</w:t>
            </w:r>
          </w:p>
        </w:tc>
        <w:tc>
          <w:tcPr>
            <w:tcW w:w="0" w:type="auto"/>
          </w:tcPr>
          <w:p w14:paraId="67E3226D" w14:textId="76825B1E" w:rsidR="00EE3732" w:rsidRPr="007E0A27" w:rsidRDefault="00EE3732" w:rsidP="00EE3732">
            <w:pPr>
              <w:keepNext/>
              <w:keepLines/>
              <w:rPr>
                <w:rFonts w:ascii="Arial" w:hAnsi="Arial" w:cs="Arial"/>
                <w:sz w:val="20"/>
                <w:szCs w:val="20"/>
              </w:rPr>
            </w:pPr>
            <w:r>
              <w:rPr>
                <w:rFonts w:ascii="Arial" w:hAnsi="Arial" w:cs="Arial"/>
                <w:sz w:val="20"/>
                <w:szCs w:val="20"/>
              </w:rPr>
              <w:t>9/10/2014</w:t>
            </w:r>
          </w:p>
        </w:tc>
        <w:tc>
          <w:tcPr>
            <w:tcW w:w="0" w:type="auto"/>
            <w:vAlign w:val="bottom"/>
          </w:tcPr>
          <w:p w14:paraId="0FAC96ED" w14:textId="5825BAF1" w:rsidR="00EE3732" w:rsidRDefault="00EE3732" w:rsidP="00EE3732">
            <w:pPr>
              <w:keepNext/>
              <w:keepLines/>
              <w:rPr>
                <w:rFonts w:ascii="Arial" w:hAnsi="Arial" w:cs="Arial"/>
                <w:sz w:val="20"/>
                <w:szCs w:val="20"/>
              </w:rPr>
            </w:pPr>
            <w:r>
              <w:rPr>
                <w:rFonts w:ascii="Arial" w:hAnsi="Arial" w:cs="Arial"/>
                <w:sz w:val="20"/>
                <w:szCs w:val="20"/>
              </w:rPr>
              <w:t>Wednesday</w:t>
            </w:r>
          </w:p>
        </w:tc>
        <w:tc>
          <w:tcPr>
            <w:tcW w:w="0" w:type="auto"/>
          </w:tcPr>
          <w:p w14:paraId="6B26C814" w14:textId="7AA17546" w:rsidR="00EE3732" w:rsidRPr="00EE3732" w:rsidRDefault="00EE3732" w:rsidP="00EE3732">
            <w:pPr>
              <w:jc w:val="center"/>
              <w:rPr>
                <w:rFonts w:ascii="Arial" w:hAnsi="Arial" w:cs="Arial"/>
                <w:sz w:val="20"/>
                <w:szCs w:val="20"/>
              </w:rPr>
            </w:pPr>
            <w:r w:rsidRPr="00EE3732">
              <w:rPr>
                <w:rFonts w:ascii="Arial" w:hAnsi="Arial" w:cs="Arial"/>
                <w:sz w:val="20"/>
                <w:szCs w:val="20"/>
              </w:rPr>
              <w:t>819.6</w:t>
            </w:r>
          </w:p>
        </w:tc>
        <w:tc>
          <w:tcPr>
            <w:tcW w:w="0" w:type="auto"/>
          </w:tcPr>
          <w:p w14:paraId="49D69A21" w14:textId="373EB491" w:rsidR="00EE3732" w:rsidRPr="00EE3732" w:rsidRDefault="00EE3732" w:rsidP="00EE3732">
            <w:pPr>
              <w:jc w:val="center"/>
              <w:rPr>
                <w:rFonts w:ascii="Arial" w:hAnsi="Arial" w:cs="Arial"/>
                <w:sz w:val="20"/>
                <w:szCs w:val="20"/>
              </w:rPr>
            </w:pPr>
            <w:r w:rsidRPr="00EE3732">
              <w:rPr>
                <w:rFonts w:ascii="Arial" w:hAnsi="Arial" w:cs="Arial"/>
                <w:sz w:val="20"/>
                <w:szCs w:val="20"/>
              </w:rPr>
              <w:t>728.5</w:t>
            </w:r>
          </w:p>
        </w:tc>
        <w:tc>
          <w:tcPr>
            <w:tcW w:w="0" w:type="auto"/>
          </w:tcPr>
          <w:p w14:paraId="48E3CF5C" w14:textId="0E26E461" w:rsidR="00EE3732" w:rsidRPr="00EE3732" w:rsidRDefault="00EE3732" w:rsidP="00EE3732">
            <w:pPr>
              <w:jc w:val="center"/>
              <w:rPr>
                <w:rFonts w:ascii="Arial" w:hAnsi="Arial" w:cs="Arial"/>
                <w:sz w:val="20"/>
                <w:szCs w:val="20"/>
              </w:rPr>
            </w:pPr>
            <w:r w:rsidRPr="00EE3732">
              <w:rPr>
                <w:rFonts w:ascii="Arial" w:hAnsi="Arial" w:cs="Arial"/>
                <w:sz w:val="20"/>
                <w:szCs w:val="20"/>
              </w:rPr>
              <w:t>91.1</w:t>
            </w:r>
          </w:p>
        </w:tc>
        <w:tc>
          <w:tcPr>
            <w:tcW w:w="0" w:type="auto"/>
          </w:tcPr>
          <w:p w14:paraId="6696E16C" w14:textId="7113A8A5" w:rsidR="00EE3732" w:rsidRPr="00EE3732" w:rsidRDefault="00EE3732" w:rsidP="00EE3732">
            <w:pPr>
              <w:jc w:val="center"/>
              <w:rPr>
                <w:rFonts w:ascii="Arial" w:hAnsi="Arial" w:cs="Arial"/>
                <w:sz w:val="20"/>
                <w:szCs w:val="20"/>
              </w:rPr>
            </w:pPr>
            <w:r w:rsidRPr="00EE3732">
              <w:rPr>
                <w:rFonts w:ascii="Arial" w:hAnsi="Arial" w:cs="Arial"/>
                <w:sz w:val="20"/>
                <w:szCs w:val="20"/>
              </w:rPr>
              <w:t>11.1%</w:t>
            </w:r>
          </w:p>
        </w:tc>
      </w:tr>
      <w:tr w:rsidR="00EE3732" w14:paraId="0B8D933D" w14:textId="77777777" w:rsidTr="001D2BA7">
        <w:trPr>
          <w:jc w:val="center"/>
        </w:trPr>
        <w:tc>
          <w:tcPr>
            <w:tcW w:w="0" w:type="auto"/>
            <w:vMerge/>
            <w:vAlign w:val="center"/>
          </w:tcPr>
          <w:p w14:paraId="186AE031" w14:textId="77777777" w:rsidR="00EE3732" w:rsidRPr="007933BB" w:rsidRDefault="00EE3732" w:rsidP="00EE3732">
            <w:pPr>
              <w:keepNext/>
              <w:keepLines/>
              <w:jc w:val="center"/>
              <w:rPr>
                <w:rFonts w:ascii="Arial" w:hAnsi="Arial" w:cs="Arial"/>
                <w:b/>
                <w:sz w:val="20"/>
                <w:szCs w:val="20"/>
              </w:rPr>
            </w:pPr>
          </w:p>
        </w:tc>
        <w:tc>
          <w:tcPr>
            <w:tcW w:w="0" w:type="auto"/>
          </w:tcPr>
          <w:p w14:paraId="5727711F" w14:textId="77777777" w:rsidR="00EE3732" w:rsidRPr="007E0A27" w:rsidRDefault="00EE3732" w:rsidP="00EE3732">
            <w:pPr>
              <w:keepNext/>
              <w:keepLines/>
              <w:jc w:val="center"/>
              <w:rPr>
                <w:rFonts w:ascii="Arial" w:hAnsi="Arial" w:cs="Arial"/>
                <w:sz w:val="20"/>
                <w:szCs w:val="20"/>
              </w:rPr>
            </w:pPr>
            <w:r>
              <w:rPr>
                <w:rFonts w:ascii="Arial" w:hAnsi="Arial" w:cs="Arial"/>
                <w:sz w:val="20"/>
                <w:szCs w:val="20"/>
              </w:rPr>
              <w:t>4</w:t>
            </w:r>
          </w:p>
        </w:tc>
        <w:tc>
          <w:tcPr>
            <w:tcW w:w="0" w:type="auto"/>
          </w:tcPr>
          <w:p w14:paraId="1F2B8A61" w14:textId="01EE86E9" w:rsidR="00EE3732" w:rsidRPr="007E0A27" w:rsidRDefault="00EE3732" w:rsidP="00EE3732">
            <w:pPr>
              <w:keepNext/>
              <w:keepLines/>
              <w:rPr>
                <w:rFonts w:ascii="Arial" w:hAnsi="Arial" w:cs="Arial"/>
                <w:sz w:val="20"/>
                <w:szCs w:val="20"/>
              </w:rPr>
            </w:pPr>
            <w:r>
              <w:rPr>
                <w:rFonts w:ascii="Arial" w:hAnsi="Arial" w:cs="Arial"/>
                <w:sz w:val="20"/>
                <w:szCs w:val="20"/>
              </w:rPr>
              <w:t>9/15/2014</w:t>
            </w:r>
          </w:p>
        </w:tc>
        <w:tc>
          <w:tcPr>
            <w:tcW w:w="0" w:type="auto"/>
            <w:vAlign w:val="bottom"/>
          </w:tcPr>
          <w:p w14:paraId="64687617" w14:textId="18FEB64B" w:rsidR="00EE3732"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16873BCE" w14:textId="33E8620D" w:rsidR="00EE3732" w:rsidRPr="00EE3732" w:rsidRDefault="00EE3732" w:rsidP="00EE3732">
            <w:pPr>
              <w:jc w:val="center"/>
              <w:rPr>
                <w:rFonts w:ascii="Arial" w:hAnsi="Arial" w:cs="Arial"/>
                <w:sz w:val="20"/>
                <w:szCs w:val="20"/>
              </w:rPr>
            </w:pPr>
            <w:r w:rsidRPr="00EE3732">
              <w:rPr>
                <w:rFonts w:ascii="Arial" w:hAnsi="Arial" w:cs="Arial"/>
                <w:sz w:val="20"/>
                <w:szCs w:val="20"/>
              </w:rPr>
              <w:t>846.4</w:t>
            </w:r>
          </w:p>
        </w:tc>
        <w:tc>
          <w:tcPr>
            <w:tcW w:w="0" w:type="auto"/>
          </w:tcPr>
          <w:p w14:paraId="5D0E1371" w14:textId="12B6072F" w:rsidR="00EE3732" w:rsidRPr="00EE3732" w:rsidRDefault="00EE3732" w:rsidP="00EE3732">
            <w:pPr>
              <w:jc w:val="center"/>
              <w:rPr>
                <w:rFonts w:ascii="Arial" w:hAnsi="Arial" w:cs="Arial"/>
                <w:sz w:val="20"/>
                <w:szCs w:val="20"/>
              </w:rPr>
            </w:pPr>
            <w:r w:rsidRPr="00EE3732">
              <w:rPr>
                <w:rFonts w:ascii="Arial" w:hAnsi="Arial" w:cs="Arial"/>
                <w:sz w:val="20"/>
                <w:szCs w:val="20"/>
              </w:rPr>
              <w:t>713.1</w:t>
            </w:r>
          </w:p>
        </w:tc>
        <w:tc>
          <w:tcPr>
            <w:tcW w:w="0" w:type="auto"/>
          </w:tcPr>
          <w:p w14:paraId="000CCC71" w14:textId="2EA3A05C" w:rsidR="00EE3732" w:rsidRPr="00EE3732" w:rsidRDefault="00EE3732" w:rsidP="00EE3732">
            <w:pPr>
              <w:jc w:val="center"/>
              <w:rPr>
                <w:rFonts w:ascii="Arial" w:hAnsi="Arial" w:cs="Arial"/>
                <w:sz w:val="20"/>
                <w:szCs w:val="20"/>
              </w:rPr>
            </w:pPr>
            <w:r w:rsidRPr="00EE3732">
              <w:rPr>
                <w:rFonts w:ascii="Arial" w:hAnsi="Arial" w:cs="Arial"/>
                <w:sz w:val="20"/>
                <w:szCs w:val="20"/>
              </w:rPr>
              <w:t>133.4</w:t>
            </w:r>
          </w:p>
        </w:tc>
        <w:tc>
          <w:tcPr>
            <w:tcW w:w="0" w:type="auto"/>
          </w:tcPr>
          <w:p w14:paraId="060BBE3B" w14:textId="3052D842" w:rsidR="00EE3732" w:rsidRPr="00EE3732" w:rsidRDefault="00EE3732" w:rsidP="00EE3732">
            <w:pPr>
              <w:jc w:val="center"/>
              <w:rPr>
                <w:rFonts w:ascii="Arial" w:hAnsi="Arial" w:cs="Arial"/>
                <w:sz w:val="20"/>
                <w:szCs w:val="20"/>
              </w:rPr>
            </w:pPr>
            <w:r w:rsidRPr="00EE3732">
              <w:rPr>
                <w:rFonts w:ascii="Arial" w:hAnsi="Arial" w:cs="Arial"/>
                <w:sz w:val="20"/>
                <w:szCs w:val="20"/>
              </w:rPr>
              <w:t>15.8%</w:t>
            </w:r>
          </w:p>
        </w:tc>
      </w:tr>
      <w:tr w:rsidR="00EE3732" w14:paraId="2EF98284" w14:textId="77777777" w:rsidTr="001D2BA7">
        <w:trPr>
          <w:jc w:val="center"/>
        </w:trPr>
        <w:tc>
          <w:tcPr>
            <w:tcW w:w="0" w:type="auto"/>
            <w:vMerge/>
            <w:vAlign w:val="center"/>
          </w:tcPr>
          <w:p w14:paraId="3F71F518" w14:textId="77777777" w:rsidR="00EE3732" w:rsidRPr="007933BB" w:rsidRDefault="00EE3732" w:rsidP="00EE3732">
            <w:pPr>
              <w:keepNext/>
              <w:keepLines/>
              <w:jc w:val="center"/>
              <w:rPr>
                <w:rFonts w:ascii="Arial" w:hAnsi="Arial" w:cs="Arial"/>
                <w:b/>
                <w:sz w:val="20"/>
                <w:szCs w:val="20"/>
              </w:rPr>
            </w:pPr>
          </w:p>
        </w:tc>
        <w:tc>
          <w:tcPr>
            <w:tcW w:w="0" w:type="auto"/>
          </w:tcPr>
          <w:p w14:paraId="11D46B8B" w14:textId="57F22A9E" w:rsidR="00EE3732" w:rsidRDefault="00EE3732" w:rsidP="00EE3732">
            <w:pPr>
              <w:keepNext/>
              <w:keepLines/>
              <w:jc w:val="center"/>
              <w:rPr>
                <w:rFonts w:ascii="Arial" w:hAnsi="Arial" w:cs="Arial"/>
                <w:sz w:val="20"/>
                <w:szCs w:val="20"/>
              </w:rPr>
            </w:pPr>
            <w:r>
              <w:rPr>
                <w:rFonts w:ascii="Arial" w:hAnsi="Arial" w:cs="Arial"/>
                <w:sz w:val="20"/>
                <w:szCs w:val="20"/>
              </w:rPr>
              <w:t>5</w:t>
            </w:r>
          </w:p>
        </w:tc>
        <w:tc>
          <w:tcPr>
            <w:tcW w:w="0" w:type="auto"/>
          </w:tcPr>
          <w:p w14:paraId="1D2E7476" w14:textId="0059CF03" w:rsidR="00EE3732" w:rsidRDefault="00EE3732" w:rsidP="00EE3732">
            <w:pPr>
              <w:keepNext/>
              <w:keepLines/>
              <w:rPr>
                <w:rFonts w:ascii="Arial" w:hAnsi="Arial" w:cs="Arial"/>
                <w:sz w:val="20"/>
                <w:szCs w:val="20"/>
              </w:rPr>
            </w:pPr>
            <w:r>
              <w:rPr>
                <w:rFonts w:ascii="Arial" w:hAnsi="Arial" w:cs="Arial"/>
                <w:sz w:val="20"/>
                <w:szCs w:val="20"/>
              </w:rPr>
              <w:t>9/17/2014</w:t>
            </w:r>
          </w:p>
        </w:tc>
        <w:tc>
          <w:tcPr>
            <w:tcW w:w="0" w:type="auto"/>
            <w:vAlign w:val="bottom"/>
          </w:tcPr>
          <w:p w14:paraId="1A3698DA" w14:textId="106750E1" w:rsidR="00EE3732" w:rsidRDefault="00EE3732" w:rsidP="00EE3732">
            <w:pPr>
              <w:keepNext/>
              <w:keepLines/>
              <w:rPr>
                <w:rFonts w:ascii="Arial" w:hAnsi="Arial" w:cs="Arial"/>
                <w:sz w:val="20"/>
                <w:szCs w:val="20"/>
              </w:rPr>
            </w:pPr>
            <w:r>
              <w:rPr>
                <w:rFonts w:ascii="Arial" w:hAnsi="Arial" w:cs="Arial"/>
                <w:sz w:val="20"/>
                <w:szCs w:val="20"/>
              </w:rPr>
              <w:t>Wednesday</w:t>
            </w:r>
          </w:p>
        </w:tc>
        <w:tc>
          <w:tcPr>
            <w:tcW w:w="0" w:type="auto"/>
          </w:tcPr>
          <w:p w14:paraId="3B92AFB3" w14:textId="14932984" w:rsidR="00EE3732" w:rsidRPr="00EE3732" w:rsidRDefault="00EE3732" w:rsidP="00EE3732">
            <w:pPr>
              <w:jc w:val="center"/>
              <w:rPr>
                <w:rFonts w:ascii="Arial" w:hAnsi="Arial" w:cs="Arial"/>
                <w:sz w:val="20"/>
                <w:szCs w:val="20"/>
              </w:rPr>
            </w:pPr>
            <w:r w:rsidRPr="00EE3732">
              <w:rPr>
                <w:rFonts w:ascii="Arial" w:hAnsi="Arial" w:cs="Arial"/>
                <w:sz w:val="20"/>
                <w:szCs w:val="20"/>
              </w:rPr>
              <w:t>827.0</w:t>
            </w:r>
          </w:p>
        </w:tc>
        <w:tc>
          <w:tcPr>
            <w:tcW w:w="0" w:type="auto"/>
          </w:tcPr>
          <w:p w14:paraId="056B2AF7" w14:textId="2C63A8FB" w:rsidR="00EE3732" w:rsidRPr="00EE3732" w:rsidRDefault="00EE3732" w:rsidP="00EE3732">
            <w:pPr>
              <w:jc w:val="center"/>
              <w:rPr>
                <w:rFonts w:ascii="Arial" w:hAnsi="Arial" w:cs="Arial"/>
                <w:sz w:val="20"/>
                <w:szCs w:val="20"/>
              </w:rPr>
            </w:pPr>
            <w:r w:rsidRPr="00EE3732">
              <w:rPr>
                <w:rFonts w:ascii="Arial" w:hAnsi="Arial" w:cs="Arial"/>
                <w:sz w:val="20"/>
                <w:szCs w:val="20"/>
              </w:rPr>
              <w:t>717.0</w:t>
            </w:r>
          </w:p>
        </w:tc>
        <w:tc>
          <w:tcPr>
            <w:tcW w:w="0" w:type="auto"/>
          </w:tcPr>
          <w:p w14:paraId="7B5BFD66" w14:textId="3A4C14CA" w:rsidR="00EE3732" w:rsidRPr="00EE3732" w:rsidRDefault="00EE3732" w:rsidP="00EE3732">
            <w:pPr>
              <w:jc w:val="center"/>
              <w:rPr>
                <w:rFonts w:ascii="Arial" w:hAnsi="Arial" w:cs="Arial"/>
                <w:sz w:val="20"/>
                <w:szCs w:val="20"/>
              </w:rPr>
            </w:pPr>
            <w:r w:rsidRPr="00EE3732">
              <w:rPr>
                <w:rFonts w:ascii="Arial" w:hAnsi="Arial" w:cs="Arial"/>
                <w:sz w:val="20"/>
                <w:szCs w:val="20"/>
              </w:rPr>
              <w:t>110.1</w:t>
            </w:r>
          </w:p>
        </w:tc>
        <w:tc>
          <w:tcPr>
            <w:tcW w:w="0" w:type="auto"/>
          </w:tcPr>
          <w:p w14:paraId="131530B0" w14:textId="3D800BE1" w:rsidR="00EE3732" w:rsidRPr="00EE3732" w:rsidRDefault="00EE3732" w:rsidP="00EE3732">
            <w:pPr>
              <w:jc w:val="center"/>
              <w:rPr>
                <w:rFonts w:ascii="Arial" w:hAnsi="Arial" w:cs="Arial"/>
                <w:sz w:val="20"/>
                <w:szCs w:val="20"/>
              </w:rPr>
            </w:pPr>
            <w:r w:rsidRPr="00EE3732">
              <w:rPr>
                <w:rFonts w:ascii="Arial" w:hAnsi="Arial" w:cs="Arial"/>
                <w:sz w:val="20"/>
                <w:szCs w:val="20"/>
              </w:rPr>
              <w:t>13.3%</w:t>
            </w:r>
          </w:p>
        </w:tc>
      </w:tr>
      <w:tr w:rsidR="00EE3732" w14:paraId="18AF6F22" w14:textId="77777777" w:rsidTr="001D2BA7">
        <w:trPr>
          <w:jc w:val="center"/>
        </w:trPr>
        <w:tc>
          <w:tcPr>
            <w:tcW w:w="0" w:type="auto"/>
            <w:vMerge/>
            <w:vAlign w:val="center"/>
          </w:tcPr>
          <w:p w14:paraId="772D1932" w14:textId="77777777" w:rsidR="00EE3732" w:rsidRPr="007933BB" w:rsidRDefault="00EE3732" w:rsidP="00EE3732">
            <w:pPr>
              <w:keepNext/>
              <w:keepLines/>
              <w:jc w:val="center"/>
              <w:rPr>
                <w:rFonts w:ascii="Arial" w:hAnsi="Arial" w:cs="Arial"/>
                <w:b/>
                <w:sz w:val="20"/>
                <w:szCs w:val="20"/>
              </w:rPr>
            </w:pPr>
          </w:p>
        </w:tc>
        <w:tc>
          <w:tcPr>
            <w:tcW w:w="0" w:type="auto"/>
          </w:tcPr>
          <w:p w14:paraId="182C85E2" w14:textId="4A02B873" w:rsidR="00EE3732" w:rsidRDefault="00EE3732" w:rsidP="00EE3732">
            <w:pPr>
              <w:keepNext/>
              <w:keepLines/>
              <w:jc w:val="center"/>
              <w:rPr>
                <w:rFonts w:ascii="Arial" w:hAnsi="Arial" w:cs="Arial"/>
                <w:sz w:val="20"/>
                <w:szCs w:val="20"/>
              </w:rPr>
            </w:pPr>
            <w:r>
              <w:rPr>
                <w:rFonts w:ascii="Arial" w:hAnsi="Arial" w:cs="Arial"/>
                <w:sz w:val="20"/>
                <w:szCs w:val="20"/>
              </w:rPr>
              <w:t>6</w:t>
            </w:r>
          </w:p>
        </w:tc>
        <w:tc>
          <w:tcPr>
            <w:tcW w:w="0" w:type="auto"/>
          </w:tcPr>
          <w:p w14:paraId="7F18E62C" w14:textId="14E87760" w:rsidR="00EE3732" w:rsidRDefault="00EE3732" w:rsidP="00EE3732">
            <w:pPr>
              <w:keepNext/>
              <w:keepLines/>
              <w:rPr>
                <w:rFonts w:ascii="Arial" w:hAnsi="Arial" w:cs="Arial"/>
                <w:sz w:val="20"/>
                <w:szCs w:val="20"/>
              </w:rPr>
            </w:pPr>
            <w:r>
              <w:rPr>
                <w:rFonts w:ascii="Arial" w:hAnsi="Arial" w:cs="Arial"/>
                <w:sz w:val="20"/>
                <w:szCs w:val="20"/>
              </w:rPr>
              <w:t>10/2/2014</w:t>
            </w:r>
          </w:p>
        </w:tc>
        <w:tc>
          <w:tcPr>
            <w:tcW w:w="0" w:type="auto"/>
            <w:vAlign w:val="bottom"/>
          </w:tcPr>
          <w:p w14:paraId="7943133A" w14:textId="21EAE09C" w:rsidR="00EE3732" w:rsidRDefault="00EE3732" w:rsidP="00EE3732">
            <w:pPr>
              <w:keepNext/>
              <w:keepLines/>
              <w:rPr>
                <w:rFonts w:ascii="Arial" w:hAnsi="Arial" w:cs="Arial"/>
                <w:sz w:val="20"/>
                <w:szCs w:val="20"/>
              </w:rPr>
            </w:pPr>
            <w:r>
              <w:rPr>
                <w:rFonts w:ascii="Arial" w:hAnsi="Arial" w:cs="Arial"/>
                <w:sz w:val="20"/>
                <w:szCs w:val="20"/>
              </w:rPr>
              <w:t>Thursday</w:t>
            </w:r>
          </w:p>
        </w:tc>
        <w:tc>
          <w:tcPr>
            <w:tcW w:w="0" w:type="auto"/>
          </w:tcPr>
          <w:p w14:paraId="1D4591FB" w14:textId="74548749" w:rsidR="00EE3732" w:rsidRPr="00EE3732" w:rsidRDefault="00EE3732" w:rsidP="00EE3732">
            <w:pPr>
              <w:jc w:val="center"/>
              <w:rPr>
                <w:rFonts w:ascii="Arial" w:hAnsi="Arial" w:cs="Arial"/>
                <w:sz w:val="20"/>
                <w:szCs w:val="20"/>
              </w:rPr>
            </w:pPr>
            <w:r w:rsidRPr="00EE3732">
              <w:rPr>
                <w:rFonts w:ascii="Arial" w:hAnsi="Arial" w:cs="Arial"/>
                <w:sz w:val="20"/>
                <w:szCs w:val="20"/>
              </w:rPr>
              <w:t>756.3</w:t>
            </w:r>
          </w:p>
        </w:tc>
        <w:tc>
          <w:tcPr>
            <w:tcW w:w="0" w:type="auto"/>
          </w:tcPr>
          <w:p w14:paraId="10FE120B" w14:textId="69D6DF79" w:rsidR="00EE3732" w:rsidRPr="00EE3732" w:rsidRDefault="00EE3732" w:rsidP="00EE3732">
            <w:pPr>
              <w:jc w:val="center"/>
              <w:rPr>
                <w:rFonts w:ascii="Arial" w:hAnsi="Arial" w:cs="Arial"/>
                <w:sz w:val="20"/>
                <w:szCs w:val="20"/>
              </w:rPr>
            </w:pPr>
            <w:r w:rsidRPr="00EE3732">
              <w:rPr>
                <w:rFonts w:ascii="Arial" w:hAnsi="Arial" w:cs="Arial"/>
                <w:sz w:val="20"/>
                <w:szCs w:val="20"/>
              </w:rPr>
              <w:t>680.7</w:t>
            </w:r>
          </w:p>
        </w:tc>
        <w:tc>
          <w:tcPr>
            <w:tcW w:w="0" w:type="auto"/>
          </w:tcPr>
          <w:p w14:paraId="7E06EAE3" w14:textId="73480AC8" w:rsidR="00EE3732" w:rsidRPr="00EE3732" w:rsidRDefault="00EE3732" w:rsidP="00EE3732">
            <w:pPr>
              <w:jc w:val="center"/>
              <w:rPr>
                <w:rFonts w:ascii="Arial" w:hAnsi="Arial" w:cs="Arial"/>
                <w:sz w:val="20"/>
                <w:szCs w:val="20"/>
              </w:rPr>
            </w:pPr>
            <w:r w:rsidRPr="00EE3732">
              <w:rPr>
                <w:rFonts w:ascii="Arial" w:hAnsi="Arial" w:cs="Arial"/>
                <w:sz w:val="20"/>
                <w:szCs w:val="20"/>
              </w:rPr>
              <w:t>75.6</w:t>
            </w:r>
          </w:p>
        </w:tc>
        <w:tc>
          <w:tcPr>
            <w:tcW w:w="0" w:type="auto"/>
          </w:tcPr>
          <w:p w14:paraId="6A6DFDD3" w14:textId="2DD29517" w:rsidR="00EE3732" w:rsidRPr="00EE3732" w:rsidRDefault="00EE3732" w:rsidP="00EE3732">
            <w:pPr>
              <w:jc w:val="center"/>
              <w:rPr>
                <w:rFonts w:ascii="Arial" w:hAnsi="Arial" w:cs="Arial"/>
                <w:sz w:val="20"/>
                <w:szCs w:val="20"/>
              </w:rPr>
            </w:pPr>
            <w:r w:rsidRPr="00EE3732">
              <w:rPr>
                <w:rFonts w:ascii="Arial" w:hAnsi="Arial" w:cs="Arial"/>
                <w:sz w:val="20"/>
                <w:szCs w:val="20"/>
              </w:rPr>
              <w:t>10.0%</w:t>
            </w:r>
          </w:p>
        </w:tc>
      </w:tr>
      <w:tr w:rsidR="00EE3732" w14:paraId="4A0DB413" w14:textId="77777777" w:rsidTr="001D2BA7">
        <w:trPr>
          <w:jc w:val="center"/>
        </w:trPr>
        <w:tc>
          <w:tcPr>
            <w:tcW w:w="0" w:type="auto"/>
            <w:vMerge/>
            <w:vAlign w:val="center"/>
          </w:tcPr>
          <w:p w14:paraId="515635F6" w14:textId="77777777" w:rsidR="00EE3732" w:rsidRPr="007933BB" w:rsidRDefault="00EE3732" w:rsidP="00EE3732">
            <w:pPr>
              <w:keepNext/>
              <w:keepLines/>
              <w:jc w:val="center"/>
              <w:rPr>
                <w:rFonts w:ascii="Arial" w:hAnsi="Arial" w:cs="Arial"/>
                <w:b/>
                <w:sz w:val="20"/>
                <w:szCs w:val="20"/>
              </w:rPr>
            </w:pPr>
          </w:p>
        </w:tc>
        <w:tc>
          <w:tcPr>
            <w:tcW w:w="0" w:type="auto"/>
          </w:tcPr>
          <w:p w14:paraId="73610BDA" w14:textId="51B4BD5F" w:rsidR="00EE3732" w:rsidRPr="007E0A27" w:rsidRDefault="00EE3732" w:rsidP="00EE3732">
            <w:pPr>
              <w:keepNext/>
              <w:keepLines/>
              <w:jc w:val="center"/>
              <w:rPr>
                <w:rFonts w:ascii="Arial" w:hAnsi="Arial" w:cs="Arial"/>
                <w:sz w:val="20"/>
                <w:szCs w:val="20"/>
              </w:rPr>
            </w:pPr>
            <w:r>
              <w:rPr>
                <w:rFonts w:ascii="Arial" w:hAnsi="Arial" w:cs="Arial"/>
                <w:sz w:val="20"/>
                <w:szCs w:val="20"/>
              </w:rPr>
              <w:t>7</w:t>
            </w:r>
          </w:p>
        </w:tc>
        <w:tc>
          <w:tcPr>
            <w:tcW w:w="0" w:type="auto"/>
          </w:tcPr>
          <w:p w14:paraId="6D10B0FD" w14:textId="45D4B715" w:rsidR="00EE3732" w:rsidRPr="007E0A27" w:rsidRDefault="00EE3732" w:rsidP="00EE3732">
            <w:pPr>
              <w:keepNext/>
              <w:keepLines/>
              <w:rPr>
                <w:rFonts w:ascii="Arial" w:hAnsi="Arial" w:cs="Arial"/>
                <w:sz w:val="20"/>
                <w:szCs w:val="20"/>
              </w:rPr>
            </w:pPr>
            <w:r>
              <w:rPr>
                <w:rFonts w:ascii="Arial" w:hAnsi="Arial" w:cs="Arial"/>
                <w:sz w:val="20"/>
                <w:szCs w:val="20"/>
              </w:rPr>
              <w:t>10/6/2014</w:t>
            </w:r>
          </w:p>
        </w:tc>
        <w:tc>
          <w:tcPr>
            <w:tcW w:w="0" w:type="auto"/>
            <w:vAlign w:val="bottom"/>
          </w:tcPr>
          <w:p w14:paraId="3462D16C" w14:textId="62BF7C69" w:rsidR="00EE3732" w:rsidRPr="007E0A27"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4E08EB48" w14:textId="02AE65B5" w:rsidR="00EE3732" w:rsidRPr="00EE3732" w:rsidRDefault="00EE3732" w:rsidP="00EE3732">
            <w:pPr>
              <w:jc w:val="center"/>
              <w:rPr>
                <w:rFonts w:ascii="Arial" w:hAnsi="Arial" w:cs="Arial"/>
                <w:sz w:val="20"/>
                <w:szCs w:val="20"/>
              </w:rPr>
            </w:pPr>
            <w:r w:rsidRPr="00EE3732">
              <w:rPr>
                <w:rFonts w:ascii="Arial" w:hAnsi="Arial" w:cs="Arial"/>
                <w:sz w:val="20"/>
                <w:szCs w:val="20"/>
              </w:rPr>
              <w:t>746.1</w:t>
            </w:r>
          </w:p>
        </w:tc>
        <w:tc>
          <w:tcPr>
            <w:tcW w:w="0" w:type="auto"/>
          </w:tcPr>
          <w:p w14:paraId="47371B32" w14:textId="778075C4" w:rsidR="00EE3732" w:rsidRPr="00EE3732" w:rsidRDefault="00EE3732" w:rsidP="00EE3732">
            <w:pPr>
              <w:jc w:val="center"/>
              <w:rPr>
                <w:rFonts w:ascii="Arial" w:hAnsi="Arial" w:cs="Arial"/>
                <w:sz w:val="20"/>
                <w:szCs w:val="20"/>
              </w:rPr>
            </w:pPr>
            <w:r w:rsidRPr="00EE3732">
              <w:rPr>
                <w:rFonts w:ascii="Arial" w:hAnsi="Arial" w:cs="Arial"/>
                <w:sz w:val="20"/>
                <w:szCs w:val="20"/>
              </w:rPr>
              <w:t>695.0</w:t>
            </w:r>
          </w:p>
        </w:tc>
        <w:tc>
          <w:tcPr>
            <w:tcW w:w="0" w:type="auto"/>
          </w:tcPr>
          <w:p w14:paraId="281B388A" w14:textId="1632D612" w:rsidR="00EE3732" w:rsidRPr="00EE3732" w:rsidRDefault="00EE3732" w:rsidP="00EE3732">
            <w:pPr>
              <w:jc w:val="center"/>
              <w:rPr>
                <w:rFonts w:ascii="Arial" w:hAnsi="Arial" w:cs="Arial"/>
                <w:sz w:val="20"/>
                <w:szCs w:val="20"/>
              </w:rPr>
            </w:pPr>
            <w:r w:rsidRPr="00EE3732">
              <w:rPr>
                <w:rFonts w:ascii="Arial" w:hAnsi="Arial" w:cs="Arial"/>
                <w:sz w:val="20"/>
                <w:szCs w:val="20"/>
              </w:rPr>
              <w:t>51.2</w:t>
            </w:r>
          </w:p>
        </w:tc>
        <w:tc>
          <w:tcPr>
            <w:tcW w:w="0" w:type="auto"/>
          </w:tcPr>
          <w:p w14:paraId="3754C4C6" w14:textId="374B304E" w:rsidR="00EE3732" w:rsidRPr="00EE3732" w:rsidRDefault="00EE3732" w:rsidP="00EE3732">
            <w:pPr>
              <w:jc w:val="center"/>
              <w:rPr>
                <w:rFonts w:ascii="Arial" w:hAnsi="Arial" w:cs="Arial"/>
                <w:sz w:val="20"/>
                <w:szCs w:val="20"/>
              </w:rPr>
            </w:pPr>
            <w:r w:rsidRPr="00EE3732">
              <w:rPr>
                <w:rFonts w:ascii="Arial" w:hAnsi="Arial" w:cs="Arial"/>
                <w:sz w:val="20"/>
                <w:szCs w:val="20"/>
              </w:rPr>
              <w:t>6.9%</w:t>
            </w:r>
          </w:p>
        </w:tc>
      </w:tr>
      <w:tr w:rsidR="00EE3732" w14:paraId="503CDF69" w14:textId="77777777" w:rsidTr="001D2BA7">
        <w:trPr>
          <w:jc w:val="center"/>
        </w:trPr>
        <w:tc>
          <w:tcPr>
            <w:tcW w:w="0" w:type="auto"/>
            <w:vMerge/>
            <w:vAlign w:val="center"/>
          </w:tcPr>
          <w:p w14:paraId="0AC21612" w14:textId="77777777" w:rsidR="00EE3732" w:rsidRPr="007933BB" w:rsidRDefault="00EE3732" w:rsidP="00EE3732">
            <w:pPr>
              <w:keepNext/>
              <w:keepLines/>
              <w:jc w:val="center"/>
              <w:rPr>
                <w:rFonts w:ascii="Arial" w:hAnsi="Arial" w:cs="Arial"/>
                <w:b/>
                <w:sz w:val="20"/>
                <w:szCs w:val="20"/>
              </w:rPr>
            </w:pPr>
          </w:p>
        </w:tc>
        <w:tc>
          <w:tcPr>
            <w:tcW w:w="0" w:type="auto"/>
            <w:gridSpan w:val="3"/>
          </w:tcPr>
          <w:p w14:paraId="52D569DC" w14:textId="77777777" w:rsidR="00EE3732" w:rsidRPr="007933BB" w:rsidRDefault="00EE3732" w:rsidP="00EE3732">
            <w:pPr>
              <w:keepNext/>
              <w:keepLines/>
              <w:jc w:val="right"/>
              <w:rPr>
                <w:rFonts w:ascii="Arial" w:hAnsi="Arial" w:cs="Arial"/>
                <w:b/>
                <w:sz w:val="20"/>
                <w:szCs w:val="20"/>
              </w:rPr>
            </w:pPr>
            <w:r w:rsidRPr="007933BB">
              <w:rPr>
                <w:rFonts w:ascii="Arial" w:hAnsi="Arial" w:cs="Arial"/>
                <w:b/>
                <w:sz w:val="20"/>
                <w:szCs w:val="20"/>
              </w:rPr>
              <w:t>Average</w:t>
            </w:r>
          </w:p>
        </w:tc>
        <w:tc>
          <w:tcPr>
            <w:tcW w:w="0" w:type="auto"/>
          </w:tcPr>
          <w:p w14:paraId="604AF509" w14:textId="7B472E21" w:rsidR="00EE3732" w:rsidRPr="00EE3732" w:rsidRDefault="00EE3732" w:rsidP="00EE3732">
            <w:pPr>
              <w:jc w:val="center"/>
              <w:rPr>
                <w:rFonts w:ascii="Arial" w:hAnsi="Arial" w:cs="Arial"/>
                <w:b/>
                <w:sz w:val="20"/>
                <w:szCs w:val="20"/>
              </w:rPr>
            </w:pPr>
            <w:r w:rsidRPr="00EE3732">
              <w:rPr>
                <w:rFonts w:ascii="Arial" w:hAnsi="Arial" w:cs="Arial"/>
                <w:b/>
                <w:sz w:val="20"/>
                <w:szCs w:val="20"/>
              </w:rPr>
              <w:t>813.6</w:t>
            </w:r>
          </w:p>
        </w:tc>
        <w:tc>
          <w:tcPr>
            <w:tcW w:w="0" w:type="auto"/>
          </w:tcPr>
          <w:p w14:paraId="36A74B7D" w14:textId="74C1A950" w:rsidR="00EE3732" w:rsidRPr="00EE3732" w:rsidRDefault="00EE3732" w:rsidP="00EE3732">
            <w:pPr>
              <w:jc w:val="center"/>
              <w:rPr>
                <w:rFonts w:ascii="Arial" w:hAnsi="Arial" w:cs="Arial"/>
                <w:b/>
                <w:sz w:val="20"/>
                <w:szCs w:val="20"/>
              </w:rPr>
            </w:pPr>
            <w:r w:rsidRPr="00EE3732">
              <w:rPr>
                <w:rFonts w:ascii="Arial" w:hAnsi="Arial" w:cs="Arial"/>
                <w:b/>
                <w:sz w:val="20"/>
                <w:szCs w:val="20"/>
              </w:rPr>
              <w:t>706.9</w:t>
            </w:r>
          </w:p>
        </w:tc>
        <w:tc>
          <w:tcPr>
            <w:tcW w:w="0" w:type="auto"/>
          </w:tcPr>
          <w:p w14:paraId="4B07BF7E" w14:textId="44894FAF" w:rsidR="00EE3732" w:rsidRPr="00EE3732" w:rsidRDefault="00EE3732" w:rsidP="00EE3732">
            <w:pPr>
              <w:jc w:val="center"/>
              <w:rPr>
                <w:rFonts w:ascii="Arial" w:hAnsi="Arial" w:cs="Arial"/>
                <w:b/>
                <w:sz w:val="20"/>
                <w:szCs w:val="20"/>
              </w:rPr>
            </w:pPr>
            <w:r w:rsidRPr="00EE3732">
              <w:rPr>
                <w:rFonts w:ascii="Arial" w:hAnsi="Arial" w:cs="Arial"/>
                <w:b/>
                <w:sz w:val="20"/>
                <w:szCs w:val="20"/>
              </w:rPr>
              <w:t>106.7</w:t>
            </w:r>
          </w:p>
        </w:tc>
        <w:tc>
          <w:tcPr>
            <w:tcW w:w="0" w:type="auto"/>
          </w:tcPr>
          <w:p w14:paraId="034A30C0" w14:textId="62C2BC85" w:rsidR="00EE3732" w:rsidRPr="00EE3732" w:rsidRDefault="00EE3732" w:rsidP="00EE3732">
            <w:pPr>
              <w:jc w:val="center"/>
              <w:rPr>
                <w:rFonts w:ascii="Arial" w:hAnsi="Arial" w:cs="Arial"/>
                <w:b/>
                <w:sz w:val="20"/>
                <w:szCs w:val="20"/>
              </w:rPr>
            </w:pPr>
            <w:r w:rsidRPr="00EE3732">
              <w:rPr>
                <w:rFonts w:ascii="Arial" w:hAnsi="Arial" w:cs="Arial"/>
                <w:b/>
                <w:sz w:val="20"/>
                <w:szCs w:val="20"/>
              </w:rPr>
              <w:t>13.1%</w:t>
            </w:r>
          </w:p>
        </w:tc>
      </w:tr>
      <w:tr w:rsidR="00EE3732" w14:paraId="0B84F485" w14:textId="77777777" w:rsidTr="00587396">
        <w:trPr>
          <w:jc w:val="center"/>
        </w:trPr>
        <w:tc>
          <w:tcPr>
            <w:tcW w:w="0" w:type="auto"/>
            <w:vMerge/>
            <w:vAlign w:val="center"/>
          </w:tcPr>
          <w:p w14:paraId="4A5398B0" w14:textId="77777777" w:rsidR="00EE3732" w:rsidRPr="007933BB" w:rsidRDefault="00EE3732" w:rsidP="00EE3732">
            <w:pPr>
              <w:keepNext/>
              <w:keepLines/>
              <w:jc w:val="center"/>
              <w:rPr>
                <w:rFonts w:ascii="Arial" w:hAnsi="Arial" w:cs="Arial"/>
                <w:b/>
                <w:sz w:val="20"/>
                <w:szCs w:val="20"/>
              </w:rPr>
            </w:pPr>
          </w:p>
        </w:tc>
        <w:tc>
          <w:tcPr>
            <w:tcW w:w="0" w:type="auto"/>
            <w:gridSpan w:val="3"/>
          </w:tcPr>
          <w:p w14:paraId="041564BE" w14:textId="77777777" w:rsidR="00EE3732" w:rsidRPr="007933BB" w:rsidRDefault="00EE3732" w:rsidP="00EE3732">
            <w:pPr>
              <w:keepNext/>
              <w:keepLines/>
              <w:jc w:val="right"/>
              <w:rPr>
                <w:rFonts w:ascii="Arial" w:hAnsi="Arial" w:cs="Arial"/>
                <w:b/>
                <w:sz w:val="20"/>
                <w:szCs w:val="20"/>
              </w:rPr>
            </w:pPr>
            <w:r w:rsidRPr="007933BB">
              <w:rPr>
                <w:rFonts w:ascii="Arial" w:hAnsi="Arial" w:cs="Arial"/>
                <w:b/>
                <w:sz w:val="20"/>
                <w:szCs w:val="20"/>
              </w:rPr>
              <w:t>Std. Dev.</w:t>
            </w:r>
          </w:p>
        </w:tc>
        <w:tc>
          <w:tcPr>
            <w:tcW w:w="0" w:type="auto"/>
          </w:tcPr>
          <w:p w14:paraId="43C68778" w14:textId="77777777" w:rsidR="00EE3732" w:rsidRPr="00EE3732" w:rsidRDefault="00EE3732" w:rsidP="00EE3732">
            <w:pPr>
              <w:jc w:val="center"/>
              <w:rPr>
                <w:rFonts w:ascii="Arial" w:hAnsi="Arial" w:cs="Arial"/>
                <w:b/>
                <w:sz w:val="20"/>
                <w:szCs w:val="20"/>
              </w:rPr>
            </w:pPr>
          </w:p>
        </w:tc>
        <w:tc>
          <w:tcPr>
            <w:tcW w:w="0" w:type="auto"/>
          </w:tcPr>
          <w:p w14:paraId="3247D425" w14:textId="77777777" w:rsidR="00EE3732" w:rsidRPr="00EE3732" w:rsidRDefault="00EE3732" w:rsidP="00EE3732">
            <w:pPr>
              <w:jc w:val="center"/>
              <w:rPr>
                <w:rFonts w:ascii="Arial" w:hAnsi="Arial" w:cs="Arial"/>
                <w:b/>
                <w:sz w:val="20"/>
                <w:szCs w:val="20"/>
              </w:rPr>
            </w:pPr>
          </w:p>
        </w:tc>
        <w:tc>
          <w:tcPr>
            <w:tcW w:w="0" w:type="auto"/>
          </w:tcPr>
          <w:p w14:paraId="08A26936" w14:textId="63C73340" w:rsidR="00EE3732" w:rsidRPr="00EE3732" w:rsidRDefault="00EE3732" w:rsidP="00EE3732">
            <w:pPr>
              <w:jc w:val="center"/>
              <w:rPr>
                <w:rFonts w:ascii="Arial" w:hAnsi="Arial" w:cs="Arial"/>
                <w:b/>
                <w:sz w:val="20"/>
                <w:szCs w:val="20"/>
              </w:rPr>
            </w:pPr>
            <w:r w:rsidRPr="00EE3732">
              <w:rPr>
                <w:rFonts w:ascii="Arial" w:hAnsi="Arial" w:cs="Arial"/>
                <w:b/>
                <w:sz w:val="20"/>
                <w:szCs w:val="20"/>
              </w:rPr>
              <w:t>35.6</w:t>
            </w:r>
          </w:p>
        </w:tc>
        <w:tc>
          <w:tcPr>
            <w:tcW w:w="0" w:type="auto"/>
          </w:tcPr>
          <w:p w14:paraId="59AAE0F5" w14:textId="6C05FE88" w:rsidR="00EE3732" w:rsidRPr="00EE3732" w:rsidRDefault="00EE3732" w:rsidP="00EE3732">
            <w:pPr>
              <w:jc w:val="center"/>
              <w:rPr>
                <w:rFonts w:ascii="Arial" w:hAnsi="Arial" w:cs="Arial"/>
                <w:b/>
                <w:sz w:val="20"/>
                <w:szCs w:val="20"/>
              </w:rPr>
            </w:pPr>
            <w:r w:rsidRPr="00EE3732">
              <w:rPr>
                <w:rFonts w:ascii="Arial" w:hAnsi="Arial" w:cs="Arial"/>
                <w:b/>
                <w:sz w:val="20"/>
                <w:szCs w:val="20"/>
              </w:rPr>
              <w:t>4.4%</w:t>
            </w:r>
          </w:p>
        </w:tc>
      </w:tr>
      <w:tr w:rsidR="00EE3732" w14:paraId="2D625171" w14:textId="77777777" w:rsidTr="001D2BA7">
        <w:trPr>
          <w:jc w:val="center"/>
        </w:trPr>
        <w:tc>
          <w:tcPr>
            <w:tcW w:w="0" w:type="auto"/>
            <w:vMerge w:val="restart"/>
            <w:vAlign w:val="center"/>
          </w:tcPr>
          <w:p w14:paraId="06A539CF" w14:textId="77777777" w:rsidR="00EE3732" w:rsidRPr="007933BB" w:rsidRDefault="00EE3732" w:rsidP="00EE3732">
            <w:pPr>
              <w:keepNext/>
              <w:keepLines/>
              <w:jc w:val="center"/>
              <w:rPr>
                <w:rFonts w:ascii="Arial" w:hAnsi="Arial" w:cs="Arial"/>
                <w:b/>
                <w:sz w:val="20"/>
                <w:szCs w:val="20"/>
              </w:rPr>
            </w:pPr>
            <w:r w:rsidRPr="007933BB">
              <w:rPr>
                <w:rFonts w:ascii="Arial" w:hAnsi="Arial" w:cs="Arial"/>
                <w:b/>
                <w:sz w:val="20"/>
                <w:szCs w:val="20"/>
              </w:rPr>
              <w:t>Enrolled in DBP Only</w:t>
            </w:r>
          </w:p>
        </w:tc>
        <w:tc>
          <w:tcPr>
            <w:tcW w:w="0" w:type="auto"/>
          </w:tcPr>
          <w:p w14:paraId="0BA7631D" w14:textId="77777777" w:rsidR="00EE3732" w:rsidRDefault="00EE3732" w:rsidP="00EE3732">
            <w:pPr>
              <w:keepNext/>
              <w:keepLines/>
              <w:jc w:val="center"/>
              <w:rPr>
                <w:rFonts w:ascii="Arial" w:hAnsi="Arial" w:cs="Arial"/>
                <w:sz w:val="20"/>
                <w:szCs w:val="20"/>
              </w:rPr>
            </w:pPr>
            <w:r>
              <w:rPr>
                <w:rFonts w:ascii="Arial" w:hAnsi="Arial" w:cs="Arial"/>
                <w:sz w:val="20"/>
                <w:szCs w:val="20"/>
              </w:rPr>
              <w:t>1</w:t>
            </w:r>
          </w:p>
        </w:tc>
        <w:tc>
          <w:tcPr>
            <w:tcW w:w="0" w:type="auto"/>
          </w:tcPr>
          <w:p w14:paraId="2F9209C1" w14:textId="63B4B624" w:rsidR="00EE3732" w:rsidRPr="007E0A27" w:rsidRDefault="00EE3732" w:rsidP="00EE3732">
            <w:pPr>
              <w:keepNext/>
              <w:keepLines/>
              <w:rPr>
                <w:rFonts w:ascii="Arial" w:hAnsi="Arial" w:cs="Arial"/>
                <w:sz w:val="20"/>
                <w:szCs w:val="20"/>
              </w:rPr>
            </w:pPr>
            <w:r>
              <w:rPr>
                <w:rFonts w:ascii="Arial" w:hAnsi="Arial" w:cs="Arial"/>
                <w:sz w:val="20"/>
                <w:szCs w:val="20"/>
              </w:rPr>
              <w:t>7/14/2014</w:t>
            </w:r>
          </w:p>
        </w:tc>
        <w:tc>
          <w:tcPr>
            <w:tcW w:w="0" w:type="auto"/>
            <w:vAlign w:val="bottom"/>
          </w:tcPr>
          <w:p w14:paraId="108D1020" w14:textId="77777777" w:rsidR="00EE3732" w:rsidRPr="007E0A27"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0EB05B64" w14:textId="716E4AF3" w:rsidR="00EE3732" w:rsidRPr="00EE3732" w:rsidRDefault="00EE3732" w:rsidP="00EE3732">
            <w:pPr>
              <w:jc w:val="center"/>
              <w:rPr>
                <w:rFonts w:ascii="Arial" w:hAnsi="Arial" w:cs="Arial"/>
                <w:sz w:val="20"/>
                <w:szCs w:val="20"/>
              </w:rPr>
            </w:pPr>
            <w:r w:rsidRPr="00EE3732">
              <w:rPr>
                <w:rFonts w:ascii="Arial" w:hAnsi="Arial" w:cs="Arial"/>
                <w:sz w:val="20"/>
                <w:szCs w:val="20"/>
              </w:rPr>
              <w:t>411.5</w:t>
            </w:r>
          </w:p>
        </w:tc>
        <w:tc>
          <w:tcPr>
            <w:tcW w:w="0" w:type="auto"/>
          </w:tcPr>
          <w:p w14:paraId="1EAED4E9" w14:textId="01C4368F" w:rsidR="00EE3732" w:rsidRPr="00EE3732" w:rsidRDefault="00EE3732" w:rsidP="00EE3732">
            <w:pPr>
              <w:jc w:val="center"/>
              <w:rPr>
                <w:rFonts w:ascii="Arial" w:hAnsi="Arial" w:cs="Arial"/>
                <w:sz w:val="20"/>
                <w:szCs w:val="20"/>
              </w:rPr>
            </w:pPr>
            <w:r w:rsidRPr="00EE3732">
              <w:rPr>
                <w:rFonts w:ascii="Arial" w:hAnsi="Arial" w:cs="Arial"/>
                <w:sz w:val="20"/>
                <w:szCs w:val="20"/>
              </w:rPr>
              <w:t>406.6</w:t>
            </w:r>
          </w:p>
        </w:tc>
        <w:tc>
          <w:tcPr>
            <w:tcW w:w="0" w:type="auto"/>
          </w:tcPr>
          <w:p w14:paraId="342AB05C" w14:textId="0F94F2F1" w:rsidR="00EE3732" w:rsidRPr="00EE3732" w:rsidRDefault="00EE3732" w:rsidP="00EE3732">
            <w:pPr>
              <w:jc w:val="center"/>
              <w:rPr>
                <w:rFonts w:ascii="Arial" w:hAnsi="Arial" w:cs="Arial"/>
                <w:sz w:val="20"/>
                <w:szCs w:val="20"/>
              </w:rPr>
            </w:pPr>
            <w:r w:rsidRPr="00EE3732">
              <w:rPr>
                <w:rFonts w:ascii="Arial" w:hAnsi="Arial" w:cs="Arial"/>
                <w:sz w:val="20"/>
                <w:szCs w:val="20"/>
              </w:rPr>
              <w:t>4.9</w:t>
            </w:r>
          </w:p>
        </w:tc>
        <w:tc>
          <w:tcPr>
            <w:tcW w:w="0" w:type="auto"/>
          </w:tcPr>
          <w:p w14:paraId="64BC785C" w14:textId="7A2F9B70" w:rsidR="00EE3732" w:rsidRPr="00EE3732" w:rsidRDefault="00EE3732" w:rsidP="00EE3732">
            <w:pPr>
              <w:jc w:val="center"/>
              <w:rPr>
                <w:rFonts w:ascii="Arial" w:hAnsi="Arial" w:cs="Arial"/>
                <w:sz w:val="20"/>
                <w:szCs w:val="20"/>
              </w:rPr>
            </w:pPr>
            <w:r w:rsidRPr="00EE3732">
              <w:rPr>
                <w:rFonts w:ascii="Arial" w:hAnsi="Arial" w:cs="Arial"/>
                <w:sz w:val="20"/>
                <w:szCs w:val="20"/>
              </w:rPr>
              <w:t>1.2%</w:t>
            </w:r>
          </w:p>
        </w:tc>
      </w:tr>
      <w:tr w:rsidR="00EE3732" w14:paraId="098A791E" w14:textId="77777777" w:rsidTr="001D2BA7">
        <w:trPr>
          <w:jc w:val="center"/>
        </w:trPr>
        <w:tc>
          <w:tcPr>
            <w:tcW w:w="0" w:type="auto"/>
            <w:vMerge/>
          </w:tcPr>
          <w:p w14:paraId="2FDB24BC" w14:textId="77777777" w:rsidR="00EE3732" w:rsidRDefault="00EE3732" w:rsidP="00EE3732">
            <w:pPr>
              <w:keepNext/>
              <w:keepLines/>
              <w:jc w:val="center"/>
              <w:rPr>
                <w:rFonts w:ascii="Arial" w:hAnsi="Arial" w:cs="Arial"/>
                <w:sz w:val="20"/>
                <w:szCs w:val="20"/>
              </w:rPr>
            </w:pPr>
          </w:p>
        </w:tc>
        <w:tc>
          <w:tcPr>
            <w:tcW w:w="0" w:type="auto"/>
          </w:tcPr>
          <w:p w14:paraId="051CFB1F" w14:textId="77777777" w:rsidR="00EE3732" w:rsidRDefault="00EE3732" w:rsidP="00EE3732">
            <w:pPr>
              <w:keepNext/>
              <w:keepLines/>
              <w:jc w:val="center"/>
              <w:rPr>
                <w:rFonts w:ascii="Arial" w:hAnsi="Arial" w:cs="Arial"/>
                <w:sz w:val="20"/>
                <w:szCs w:val="20"/>
              </w:rPr>
            </w:pPr>
            <w:r>
              <w:rPr>
                <w:rFonts w:ascii="Arial" w:hAnsi="Arial" w:cs="Arial"/>
                <w:sz w:val="20"/>
                <w:szCs w:val="20"/>
              </w:rPr>
              <w:t>2</w:t>
            </w:r>
          </w:p>
        </w:tc>
        <w:tc>
          <w:tcPr>
            <w:tcW w:w="0" w:type="auto"/>
          </w:tcPr>
          <w:p w14:paraId="43DA77ED" w14:textId="23C3EF5B" w:rsidR="00EE3732" w:rsidRPr="007E0A27" w:rsidRDefault="00EE3732" w:rsidP="00EE3732">
            <w:pPr>
              <w:keepNext/>
              <w:keepLines/>
              <w:rPr>
                <w:rFonts w:ascii="Arial" w:hAnsi="Arial" w:cs="Arial"/>
                <w:sz w:val="20"/>
                <w:szCs w:val="20"/>
              </w:rPr>
            </w:pPr>
            <w:r>
              <w:rPr>
                <w:rFonts w:ascii="Arial" w:hAnsi="Arial" w:cs="Arial"/>
                <w:sz w:val="20"/>
                <w:szCs w:val="20"/>
              </w:rPr>
              <w:t>9/8/2014</w:t>
            </w:r>
          </w:p>
        </w:tc>
        <w:tc>
          <w:tcPr>
            <w:tcW w:w="0" w:type="auto"/>
            <w:vAlign w:val="bottom"/>
          </w:tcPr>
          <w:p w14:paraId="2F37AA9F" w14:textId="4927D1DC" w:rsidR="00EE3732"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05996258" w14:textId="1960E483" w:rsidR="00EE3732" w:rsidRPr="00EE3732" w:rsidRDefault="00EE3732" w:rsidP="00EE3732">
            <w:pPr>
              <w:jc w:val="center"/>
              <w:rPr>
                <w:rFonts w:ascii="Arial" w:hAnsi="Arial" w:cs="Arial"/>
                <w:sz w:val="20"/>
                <w:szCs w:val="20"/>
              </w:rPr>
            </w:pPr>
            <w:r w:rsidRPr="00EE3732">
              <w:rPr>
                <w:rFonts w:ascii="Arial" w:hAnsi="Arial" w:cs="Arial"/>
                <w:sz w:val="20"/>
                <w:szCs w:val="20"/>
              </w:rPr>
              <w:t>345.4</w:t>
            </w:r>
          </w:p>
        </w:tc>
        <w:tc>
          <w:tcPr>
            <w:tcW w:w="0" w:type="auto"/>
          </w:tcPr>
          <w:p w14:paraId="685E6F81" w14:textId="5351E8AB" w:rsidR="00EE3732" w:rsidRPr="00EE3732" w:rsidRDefault="00EE3732" w:rsidP="00EE3732">
            <w:pPr>
              <w:jc w:val="center"/>
              <w:rPr>
                <w:rFonts w:ascii="Arial" w:hAnsi="Arial" w:cs="Arial"/>
                <w:sz w:val="20"/>
                <w:szCs w:val="20"/>
              </w:rPr>
            </w:pPr>
            <w:r w:rsidRPr="00EE3732">
              <w:rPr>
                <w:rFonts w:ascii="Arial" w:hAnsi="Arial" w:cs="Arial"/>
                <w:sz w:val="20"/>
                <w:szCs w:val="20"/>
              </w:rPr>
              <w:t>335.0</w:t>
            </w:r>
          </w:p>
        </w:tc>
        <w:tc>
          <w:tcPr>
            <w:tcW w:w="0" w:type="auto"/>
          </w:tcPr>
          <w:p w14:paraId="09E8A825" w14:textId="28B337CF" w:rsidR="00EE3732" w:rsidRPr="00EE3732" w:rsidRDefault="00EE3732" w:rsidP="00EE3732">
            <w:pPr>
              <w:jc w:val="center"/>
              <w:rPr>
                <w:rFonts w:ascii="Arial" w:hAnsi="Arial" w:cs="Arial"/>
                <w:sz w:val="20"/>
                <w:szCs w:val="20"/>
              </w:rPr>
            </w:pPr>
            <w:r w:rsidRPr="00EE3732">
              <w:rPr>
                <w:rFonts w:ascii="Arial" w:hAnsi="Arial" w:cs="Arial"/>
                <w:sz w:val="20"/>
                <w:szCs w:val="20"/>
              </w:rPr>
              <w:t>10.4</w:t>
            </w:r>
          </w:p>
        </w:tc>
        <w:tc>
          <w:tcPr>
            <w:tcW w:w="0" w:type="auto"/>
          </w:tcPr>
          <w:p w14:paraId="3D8745B8" w14:textId="490DB2F4" w:rsidR="00EE3732" w:rsidRPr="00EE3732" w:rsidRDefault="00EE3732" w:rsidP="00EE3732">
            <w:pPr>
              <w:jc w:val="center"/>
              <w:rPr>
                <w:rFonts w:ascii="Arial" w:hAnsi="Arial" w:cs="Arial"/>
                <w:sz w:val="20"/>
                <w:szCs w:val="20"/>
              </w:rPr>
            </w:pPr>
            <w:r w:rsidRPr="00EE3732">
              <w:rPr>
                <w:rFonts w:ascii="Arial" w:hAnsi="Arial" w:cs="Arial"/>
                <w:sz w:val="20"/>
                <w:szCs w:val="20"/>
              </w:rPr>
              <w:t>3.0%</w:t>
            </w:r>
          </w:p>
        </w:tc>
      </w:tr>
      <w:tr w:rsidR="00EE3732" w14:paraId="729E7D32" w14:textId="77777777" w:rsidTr="001D2BA7">
        <w:trPr>
          <w:jc w:val="center"/>
        </w:trPr>
        <w:tc>
          <w:tcPr>
            <w:tcW w:w="0" w:type="auto"/>
            <w:vMerge/>
          </w:tcPr>
          <w:p w14:paraId="20551C23" w14:textId="77777777" w:rsidR="00EE3732" w:rsidRDefault="00EE3732" w:rsidP="00EE3732">
            <w:pPr>
              <w:keepNext/>
              <w:keepLines/>
              <w:jc w:val="center"/>
              <w:rPr>
                <w:rFonts w:ascii="Arial" w:hAnsi="Arial" w:cs="Arial"/>
                <w:sz w:val="20"/>
                <w:szCs w:val="20"/>
              </w:rPr>
            </w:pPr>
          </w:p>
        </w:tc>
        <w:tc>
          <w:tcPr>
            <w:tcW w:w="0" w:type="auto"/>
          </w:tcPr>
          <w:p w14:paraId="7C2532F1" w14:textId="77777777" w:rsidR="00EE3732" w:rsidRDefault="00EE3732" w:rsidP="00EE3732">
            <w:pPr>
              <w:keepNext/>
              <w:keepLines/>
              <w:jc w:val="center"/>
              <w:rPr>
                <w:rFonts w:ascii="Arial" w:hAnsi="Arial" w:cs="Arial"/>
                <w:sz w:val="20"/>
                <w:szCs w:val="20"/>
              </w:rPr>
            </w:pPr>
            <w:r>
              <w:rPr>
                <w:rFonts w:ascii="Arial" w:hAnsi="Arial" w:cs="Arial"/>
                <w:sz w:val="20"/>
                <w:szCs w:val="20"/>
              </w:rPr>
              <w:t>3</w:t>
            </w:r>
          </w:p>
        </w:tc>
        <w:tc>
          <w:tcPr>
            <w:tcW w:w="0" w:type="auto"/>
          </w:tcPr>
          <w:p w14:paraId="3A204BA6" w14:textId="6B416D1C" w:rsidR="00EE3732" w:rsidRPr="007E0A27" w:rsidRDefault="00EE3732" w:rsidP="00EE3732">
            <w:pPr>
              <w:keepNext/>
              <w:keepLines/>
              <w:rPr>
                <w:rFonts w:ascii="Arial" w:hAnsi="Arial" w:cs="Arial"/>
                <w:sz w:val="20"/>
                <w:szCs w:val="20"/>
              </w:rPr>
            </w:pPr>
            <w:r>
              <w:rPr>
                <w:rFonts w:ascii="Arial" w:hAnsi="Arial" w:cs="Arial"/>
                <w:sz w:val="20"/>
                <w:szCs w:val="20"/>
              </w:rPr>
              <w:t>9/10/2014</w:t>
            </w:r>
          </w:p>
        </w:tc>
        <w:tc>
          <w:tcPr>
            <w:tcW w:w="0" w:type="auto"/>
            <w:vAlign w:val="bottom"/>
          </w:tcPr>
          <w:p w14:paraId="04030224" w14:textId="104E48A5" w:rsidR="00EE3732" w:rsidRDefault="00EE3732" w:rsidP="00EE3732">
            <w:pPr>
              <w:keepNext/>
              <w:keepLines/>
              <w:rPr>
                <w:rFonts w:ascii="Arial" w:hAnsi="Arial" w:cs="Arial"/>
                <w:sz w:val="20"/>
                <w:szCs w:val="20"/>
              </w:rPr>
            </w:pPr>
            <w:r>
              <w:rPr>
                <w:rFonts w:ascii="Arial" w:hAnsi="Arial" w:cs="Arial"/>
                <w:sz w:val="20"/>
                <w:szCs w:val="20"/>
              </w:rPr>
              <w:t>Wednesday</w:t>
            </w:r>
          </w:p>
        </w:tc>
        <w:tc>
          <w:tcPr>
            <w:tcW w:w="0" w:type="auto"/>
          </w:tcPr>
          <w:p w14:paraId="0275C299" w14:textId="17E84522" w:rsidR="00EE3732" w:rsidRPr="00EE3732" w:rsidRDefault="00EE3732" w:rsidP="00EE3732">
            <w:pPr>
              <w:jc w:val="center"/>
              <w:rPr>
                <w:rFonts w:ascii="Arial" w:hAnsi="Arial" w:cs="Arial"/>
                <w:sz w:val="20"/>
                <w:szCs w:val="20"/>
              </w:rPr>
            </w:pPr>
            <w:r w:rsidRPr="00EE3732">
              <w:rPr>
                <w:rFonts w:ascii="Arial" w:hAnsi="Arial" w:cs="Arial"/>
                <w:sz w:val="20"/>
                <w:szCs w:val="20"/>
              </w:rPr>
              <w:t>334.6</w:t>
            </w:r>
          </w:p>
        </w:tc>
        <w:tc>
          <w:tcPr>
            <w:tcW w:w="0" w:type="auto"/>
          </w:tcPr>
          <w:p w14:paraId="7AB71ECD" w14:textId="53B7D8C9" w:rsidR="00EE3732" w:rsidRPr="00EE3732" w:rsidRDefault="00EE3732" w:rsidP="00EE3732">
            <w:pPr>
              <w:jc w:val="center"/>
              <w:rPr>
                <w:rFonts w:ascii="Arial" w:hAnsi="Arial" w:cs="Arial"/>
                <w:sz w:val="20"/>
                <w:szCs w:val="20"/>
              </w:rPr>
            </w:pPr>
            <w:r w:rsidRPr="00EE3732">
              <w:rPr>
                <w:rFonts w:ascii="Arial" w:hAnsi="Arial" w:cs="Arial"/>
                <w:sz w:val="20"/>
                <w:szCs w:val="20"/>
              </w:rPr>
              <w:t>333.0</w:t>
            </w:r>
          </w:p>
        </w:tc>
        <w:tc>
          <w:tcPr>
            <w:tcW w:w="0" w:type="auto"/>
          </w:tcPr>
          <w:p w14:paraId="5E2599A8" w14:textId="7978AD6F" w:rsidR="00EE3732" w:rsidRPr="00EE3732" w:rsidRDefault="00EE3732" w:rsidP="00EE3732">
            <w:pPr>
              <w:jc w:val="center"/>
              <w:rPr>
                <w:rFonts w:ascii="Arial" w:hAnsi="Arial" w:cs="Arial"/>
                <w:sz w:val="20"/>
                <w:szCs w:val="20"/>
              </w:rPr>
            </w:pPr>
            <w:r w:rsidRPr="00EE3732">
              <w:rPr>
                <w:rFonts w:ascii="Arial" w:hAnsi="Arial" w:cs="Arial"/>
                <w:sz w:val="20"/>
                <w:szCs w:val="20"/>
              </w:rPr>
              <w:t>1.6</w:t>
            </w:r>
          </w:p>
        </w:tc>
        <w:tc>
          <w:tcPr>
            <w:tcW w:w="0" w:type="auto"/>
          </w:tcPr>
          <w:p w14:paraId="6384A443" w14:textId="64C8C308" w:rsidR="00EE3732" w:rsidRPr="00EE3732" w:rsidRDefault="00EE3732" w:rsidP="00EE3732">
            <w:pPr>
              <w:jc w:val="center"/>
              <w:rPr>
                <w:rFonts w:ascii="Arial" w:hAnsi="Arial" w:cs="Arial"/>
                <w:sz w:val="20"/>
                <w:szCs w:val="20"/>
              </w:rPr>
            </w:pPr>
            <w:r w:rsidRPr="00EE3732">
              <w:rPr>
                <w:rFonts w:ascii="Arial" w:hAnsi="Arial" w:cs="Arial"/>
                <w:sz w:val="20"/>
                <w:szCs w:val="20"/>
              </w:rPr>
              <w:t>0.5%</w:t>
            </w:r>
          </w:p>
        </w:tc>
      </w:tr>
      <w:tr w:rsidR="00EE3732" w14:paraId="7B8E3B39" w14:textId="77777777" w:rsidTr="001D2BA7">
        <w:trPr>
          <w:jc w:val="center"/>
        </w:trPr>
        <w:tc>
          <w:tcPr>
            <w:tcW w:w="0" w:type="auto"/>
            <w:vMerge/>
          </w:tcPr>
          <w:p w14:paraId="4535E5B8" w14:textId="77777777" w:rsidR="00EE3732" w:rsidRDefault="00EE3732" w:rsidP="00EE3732">
            <w:pPr>
              <w:keepNext/>
              <w:keepLines/>
              <w:jc w:val="center"/>
              <w:rPr>
                <w:rFonts w:ascii="Arial" w:hAnsi="Arial" w:cs="Arial"/>
                <w:sz w:val="20"/>
                <w:szCs w:val="20"/>
              </w:rPr>
            </w:pPr>
          </w:p>
        </w:tc>
        <w:tc>
          <w:tcPr>
            <w:tcW w:w="0" w:type="auto"/>
          </w:tcPr>
          <w:p w14:paraId="3FBA95BE" w14:textId="77777777" w:rsidR="00EE3732" w:rsidRDefault="00EE3732" w:rsidP="00EE3732">
            <w:pPr>
              <w:keepNext/>
              <w:keepLines/>
              <w:jc w:val="center"/>
              <w:rPr>
                <w:rFonts w:ascii="Arial" w:hAnsi="Arial" w:cs="Arial"/>
                <w:sz w:val="20"/>
                <w:szCs w:val="20"/>
              </w:rPr>
            </w:pPr>
            <w:r>
              <w:rPr>
                <w:rFonts w:ascii="Arial" w:hAnsi="Arial" w:cs="Arial"/>
                <w:sz w:val="20"/>
                <w:szCs w:val="20"/>
              </w:rPr>
              <w:t>4</w:t>
            </w:r>
          </w:p>
        </w:tc>
        <w:tc>
          <w:tcPr>
            <w:tcW w:w="0" w:type="auto"/>
          </w:tcPr>
          <w:p w14:paraId="740F61F4" w14:textId="52480E85" w:rsidR="00EE3732" w:rsidRPr="007E0A27" w:rsidRDefault="00EE3732" w:rsidP="00EE3732">
            <w:pPr>
              <w:keepNext/>
              <w:keepLines/>
              <w:rPr>
                <w:rFonts w:ascii="Arial" w:hAnsi="Arial" w:cs="Arial"/>
                <w:sz w:val="20"/>
                <w:szCs w:val="20"/>
              </w:rPr>
            </w:pPr>
            <w:r>
              <w:rPr>
                <w:rFonts w:ascii="Arial" w:hAnsi="Arial" w:cs="Arial"/>
                <w:sz w:val="20"/>
                <w:szCs w:val="20"/>
              </w:rPr>
              <w:t>9/15/2014</w:t>
            </w:r>
          </w:p>
        </w:tc>
        <w:tc>
          <w:tcPr>
            <w:tcW w:w="0" w:type="auto"/>
            <w:vAlign w:val="bottom"/>
          </w:tcPr>
          <w:p w14:paraId="0D2DB5DF" w14:textId="0453A08B" w:rsidR="00EE3732"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2DA6D29A" w14:textId="5CB4FBC5" w:rsidR="00EE3732" w:rsidRPr="00EE3732" w:rsidRDefault="00EE3732" w:rsidP="00EE3732">
            <w:pPr>
              <w:jc w:val="center"/>
              <w:rPr>
                <w:rFonts w:ascii="Arial" w:hAnsi="Arial" w:cs="Arial"/>
                <w:sz w:val="20"/>
                <w:szCs w:val="20"/>
              </w:rPr>
            </w:pPr>
            <w:r w:rsidRPr="00EE3732">
              <w:rPr>
                <w:rFonts w:ascii="Arial" w:hAnsi="Arial" w:cs="Arial"/>
                <w:sz w:val="20"/>
                <w:szCs w:val="20"/>
              </w:rPr>
              <w:t>375.5</w:t>
            </w:r>
          </w:p>
        </w:tc>
        <w:tc>
          <w:tcPr>
            <w:tcW w:w="0" w:type="auto"/>
          </w:tcPr>
          <w:p w14:paraId="73EA2653" w14:textId="7483A997" w:rsidR="00EE3732" w:rsidRPr="00EE3732" w:rsidRDefault="00EE3732" w:rsidP="00EE3732">
            <w:pPr>
              <w:jc w:val="center"/>
              <w:rPr>
                <w:rFonts w:ascii="Arial" w:hAnsi="Arial" w:cs="Arial"/>
                <w:sz w:val="20"/>
                <w:szCs w:val="20"/>
              </w:rPr>
            </w:pPr>
            <w:r w:rsidRPr="00EE3732">
              <w:rPr>
                <w:rFonts w:ascii="Arial" w:hAnsi="Arial" w:cs="Arial"/>
                <w:sz w:val="20"/>
                <w:szCs w:val="20"/>
              </w:rPr>
              <w:t>370.9</w:t>
            </w:r>
          </w:p>
        </w:tc>
        <w:tc>
          <w:tcPr>
            <w:tcW w:w="0" w:type="auto"/>
          </w:tcPr>
          <w:p w14:paraId="78CD29D2" w14:textId="0689E518" w:rsidR="00EE3732" w:rsidRPr="00EE3732" w:rsidRDefault="00EE3732" w:rsidP="00EE3732">
            <w:pPr>
              <w:jc w:val="center"/>
              <w:rPr>
                <w:rFonts w:ascii="Arial" w:hAnsi="Arial" w:cs="Arial"/>
                <w:sz w:val="20"/>
                <w:szCs w:val="20"/>
              </w:rPr>
            </w:pPr>
            <w:r w:rsidRPr="00EE3732">
              <w:rPr>
                <w:rFonts w:ascii="Arial" w:hAnsi="Arial" w:cs="Arial"/>
                <w:sz w:val="20"/>
                <w:szCs w:val="20"/>
              </w:rPr>
              <w:t>4.6</w:t>
            </w:r>
          </w:p>
        </w:tc>
        <w:tc>
          <w:tcPr>
            <w:tcW w:w="0" w:type="auto"/>
          </w:tcPr>
          <w:p w14:paraId="71CA5E3D" w14:textId="27B1AC6C" w:rsidR="00EE3732" w:rsidRPr="00EE3732" w:rsidRDefault="00EE3732" w:rsidP="00EE3732">
            <w:pPr>
              <w:jc w:val="center"/>
              <w:rPr>
                <w:rFonts w:ascii="Arial" w:hAnsi="Arial" w:cs="Arial"/>
                <w:sz w:val="20"/>
                <w:szCs w:val="20"/>
              </w:rPr>
            </w:pPr>
            <w:r w:rsidRPr="00EE3732">
              <w:rPr>
                <w:rFonts w:ascii="Arial" w:hAnsi="Arial" w:cs="Arial"/>
                <w:sz w:val="20"/>
                <w:szCs w:val="20"/>
              </w:rPr>
              <w:t>1.2%</w:t>
            </w:r>
          </w:p>
        </w:tc>
      </w:tr>
      <w:tr w:rsidR="00EE3732" w14:paraId="3DECC1FB" w14:textId="77777777" w:rsidTr="001D2BA7">
        <w:trPr>
          <w:jc w:val="center"/>
        </w:trPr>
        <w:tc>
          <w:tcPr>
            <w:tcW w:w="0" w:type="auto"/>
            <w:vMerge/>
          </w:tcPr>
          <w:p w14:paraId="1A66B03C" w14:textId="77777777" w:rsidR="00EE3732" w:rsidRDefault="00EE3732" w:rsidP="00EE3732">
            <w:pPr>
              <w:keepNext/>
              <w:keepLines/>
              <w:jc w:val="center"/>
              <w:rPr>
                <w:rFonts w:ascii="Arial" w:hAnsi="Arial" w:cs="Arial"/>
                <w:sz w:val="20"/>
                <w:szCs w:val="20"/>
              </w:rPr>
            </w:pPr>
          </w:p>
        </w:tc>
        <w:tc>
          <w:tcPr>
            <w:tcW w:w="0" w:type="auto"/>
          </w:tcPr>
          <w:p w14:paraId="7083AB16" w14:textId="52EA9094" w:rsidR="00EE3732" w:rsidRDefault="00EE3732" w:rsidP="00EE3732">
            <w:pPr>
              <w:keepNext/>
              <w:keepLines/>
              <w:jc w:val="center"/>
              <w:rPr>
                <w:rFonts w:ascii="Arial" w:hAnsi="Arial" w:cs="Arial"/>
                <w:sz w:val="20"/>
                <w:szCs w:val="20"/>
              </w:rPr>
            </w:pPr>
            <w:r>
              <w:rPr>
                <w:rFonts w:ascii="Arial" w:hAnsi="Arial" w:cs="Arial"/>
                <w:sz w:val="20"/>
                <w:szCs w:val="20"/>
              </w:rPr>
              <w:t>5</w:t>
            </w:r>
          </w:p>
        </w:tc>
        <w:tc>
          <w:tcPr>
            <w:tcW w:w="0" w:type="auto"/>
          </w:tcPr>
          <w:p w14:paraId="06475B2A" w14:textId="0BB95BBB" w:rsidR="00EE3732" w:rsidRDefault="00EE3732" w:rsidP="00EE3732">
            <w:pPr>
              <w:keepNext/>
              <w:keepLines/>
              <w:rPr>
                <w:rFonts w:ascii="Arial" w:hAnsi="Arial" w:cs="Arial"/>
                <w:sz w:val="20"/>
                <w:szCs w:val="20"/>
              </w:rPr>
            </w:pPr>
            <w:r>
              <w:rPr>
                <w:rFonts w:ascii="Arial" w:hAnsi="Arial" w:cs="Arial"/>
                <w:sz w:val="20"/>
                <w:szCs w:val="20"/>
              </w:rPr>
              <w:t>9/17/2014</w:t>
            </w:r>
          </w:p>
        </w:tc>
        <w:tc>
          <w:tcPr>
            <w:tcW w:w="0" w:type="auto"/>
            <w:vAlign w:val="bottom"/>
          </w:tcPr>
          <w:p w14:paraId="7A810A95" w14:textId="6100BFDE" w:rsidR="00EE3732" w:rsidRDefault="00EE3732" w:rsidP="00EE3732">
            <w:pPr>
              <w:keepNext/>
              <w:keepLines/>
              <w:rPr>
                <w:rFonts w:ascii="Arial" w:hAnsi="Arial" w:cs="Arial"/>
                <w:sz w:val="20"/>
                <w:szCs w:val="20"/>
              </w:rPr>
            </w:pPr>
            <w:r>
              <w:rPr>
                <w:rFonts w:ascii="Arial" w:hAnsi="Arial" w:cs="Arial"/>
                <w:sz w:val="20"/>
                <w:szCs w:val="20"/>
              </w:rPr>
              <w:t>Wednesday</w:t>
            </w:r>
          </w:p>
        </w:tc>
        <w:tc>
          <w:tcPr>
            <w:tcW w:w="0" w:type="auto"/>
          </w:tcPr>
          <w:p w14:paraId="437FFC67" w14:textId="6C9690C8" w:rsidR="00EE3732" w:rsidRPr="00EE3732" w:rsidRDefault="00EE3732" w:rsidP="00EE3732">
            <w:pPr>
              <w:jc w:val="center"/>
              <w:rPr>
                <w:rFonts w:ascii="Arial" w:hAnsi="Arial" w:cs="Arial"/>
                <w:sz w:val="20"/>
                <w:szCs w:val="20"/>
              </w:rPr>
            </w:pPr>
            <w:r w:rsidRPr="00EE3732">
              <w:rPr>
                <w:rFonts w:ascii="Arial" w:hAnsi="Arial" w:cs="Arial"/>
                <w:sz w:val="20"/>
                <w:szCs w:val="20"/>
              </w:rPr>
              <w:t>370.7</w:t>
            </w:r>
          </w:p>
        </w:tc>
        <w:tc>
          <w:tcPr>
            <w:tcW w:w="0" w:type="auto"/>
          </w:tcPr>
          <w:p w14:paraId="2002C214" w14:textId="32DC4BCB" w:rsidR="00EE3732" w:rsidRPr="00EE3732" w:rsidRDefault="00EE3732" w:rsidP="00EE3732">
            <w:pPr>
              <w:jc w:val="center"/>
              <w:rPr>
                <w:rFonts w:ascii="Arial" w:hAnsi="Arial" w:cs="Arial"/>
                <w:sz w:val="20"/>
                <w:szCs w:val="20"/>
              </w:rPr>
            </w:pPr>
            <w:r w:rsidRPr="00EE3732">
              <w:rPr>
                <w:rFonts w:ascii="Arial" w:hAnsi="Arial" w:cs="Arial"/>
                <w:sz w:val="20"/>
                <w:szCs w:val="20"/>
              </w:rPr>
              <w:t>363.1</w:t>
            </w:r>
          </w:p>
        </w:tc>
        <w:tc>
          <w:tcPr>
            <w:tcW w:w="0" w:type="auto"/>
          </w:tcPr>
          <w:p w14:paraId="24DC37C2" w14:textId="6CAEA8D4" w:rsidR="00EE3732" w:rsidRPr="00EE3732" w:rsidRDefault="00EE3732" w:rsidP="00EE3732">
            <w:pPr>
              <w:jc w:val="center"/>
              <w:rPr>
                <w:rFonts w:ascii="Arial" w:hAnsi="Arial" w:cs="Arial"/>
                <w:sz w:val="20"/>
                <w:szCs w:val="20"/>
              </w:rPr>
            </w:pPr>
            <w:r w:rsidRPr="00EE3732">
              <w:rPr>
                <w:rFonts w:ascii="Arial" w:hAnsi="Arial" w:cs="Arial"/>
                <w:sz w:val="20"/>
                <w:szCs w:val="20"/>
              </w:rPr>
              <w:t>7.6</w:t>
            </w:r>
          </w:p>
        </w:tc>
        <w:tc>
          <w:tcPr>
            <w:tcW w:w="0" w:type="auto"/>
          </w:tcPr>
          <w:p w14:paraId="2F53D3B0" w14:textId="3A120518" w:rsidR="00EE3732" w:rsidRPr="00EE3732" w:rsidRDefault="00EE3732" w:rsidP="00EE3732">
            <w:pPr>
              <w:jc w:val="center"/>
              <w:rPr>
                <w:rFonts w:ascii="Arial" w:hAnsi="Arial" w:cs="Arial"/>
                <w:sz w:val="20"/>
                <w:szCs w:val="20"/>
              </w:rPr>
            </w:pPr>
            <w:r w:rsidRPr="00EE3732">
              <w:rPr>
                <w:rFonts w:ascii="Arial" w:hAnsi="Arial" w:cs="Arial"/>
                <w:sz w:val="20"/>
                <w:szCs w:val="20"/>
              </w:rPr>
              <w:t>2.1%</w:t>
            </w:r>
          </w:p>
        </w:tc>
      </w:tr>
      <w:tr w:rsidR="00EE3732" w14:paraId="405BB05A" w14:textId="77777777" w:rsidTr="001D2BA7">
        <w:trPr>
          <w:jc w:val="center"/>
        </w:trPr>
        <w:tc>
          <w:tcPr>
            <w:tcW w:w="0" w:type="auto"/>
            <w:vMerge/>
          </w:tcPr>
          <w:p w14:paraId="043A99E3" w14:textId="77777777" w:rsidR="00EE3732" w:rsidRDefault="00EE3732" w:rsidP="00EE3732">
            <w:pPr>
              <w:keepNext/>
              <w:keepLines/>
              <w:jc w:val="center"/>
              <w:rPr>
                <w:rFonts w:ascii="Arial" w:hAnsi="Arial" w:cs="Arial"/>
                <w:sz w:val="20"/>
                <w:szCs w:val="20"/>
              </w:rPr>
            </w:pPr>
          </w:p>
        </w:tc>
        <w:tc>
          <w:tcPr>
            <w:tcW w:w="0" w:type="auto"/>
          </w:tcPr>
          <w:p w14:paraId="572E49B8" w14:textId="74CD848E" w:rsidR="00EE3732" w:rsidRDefault="00EE3732" w:rsidP="00EE3732">
            <w:pPr>
              <w:keepNext/>
              <w:keepLines/>
              <w:jc w:val="center"/>
              <w:rPr>
                <w:rFonts w:ascii="Arial" w:hAnsi="Arial" w:cs="Arial"/>
                <w:sz w:val="20"/>
                <w:szCs w:val="20"/>
              </w:rPr>
            </w:pPr>
            <w:r>
              <w:rPr>
                <w:rFonts w:ascii="Arial" w:hAnsi="Arial" w:cs="Arial"/>
                <w:sz w:val="20"/>
                <w:szCs w:val="20"/>
              </w:rPr>
              <w:t>6</w:t>
            </w:r>
          </w:p>
        </w:tc>
        <w:tc>
          <w:tcPr>
            <w:tcW w:w="0" w:type="auto"/>
          </w:tcPr>
          <w:p w14:paraId="25CEF0C9" w14:textId="0B6344C8" w:rsidR="00EE3732" w:rsidRDefault="00EE3732" w:rsidP="00EE3732">
            <w:pPr>
              <w:keepNext/>
              <w:keepLines/>
              <w:rPr>
                <w:rFonts w:ascii="Arial" w:hAnsi="Arial" w:cs="Arial"/>
                <w:sz w:val="20"/>
                <w:szCs w:val="20"/>
              </w:rPr>
            </w:pPr>
            <w:r>
              <w:rPr>
                <w:rFonts w:ascii="Arial" w:hAnsi="Arial" w:cs="Arial"/>
                <w:sz w:val="20"/>
                <w:szCs w:val="20"/>
              </w:rPr>
              <w:t>10/2/2014</w:t>
            </w:r>
          </w:p>
        </w:tc>
        <w:tc>
          <w:tcPr>
            <w:tcW w:w="0" w:type="auto"/>
            <w:vAlign w:val="bottom"/>
          </w:tcPr>
          <w:p w14:paraId="0EF819CD" w14:textId="7A52769B" w:rsidR="00EE3732" w:rsidRDefault="00EE3732" w:rsidP="00EE3732">
            <w:pPr>
              <w:keepNext/>
              <w:keepLines/>
              <w:rPr>
                <w:rFonts w:ascii="Arial" w:hAnsi="Arial" w:cs="Arial"/>
                <w:sz w:val="20"/>
                <w:szCs w:val="20"/>
              </w:rPr>
            </w:pPr>
            <w:r>
              <w:rPr>
                <w:rFonts w:ascii="Arial" w:hAnsi="Arial" w:cs="Arial"/>
                <w:sz w:val="20"/>
                <w:szCs w:val="20"/>
              </w:rPr>
              <w:t>Thursday</w:t>
            </w:r>
          </w:p>
        </w:tc>
        <w:tc>
          <w:tcPr>
            <w:tcW w:w="0" w:type="auto"/>
          </w:tcPr>
          <w:p w14:paraId="5F028B96" w14:textId="605A492D" w:rsidR="00EE3732" w:rsidRPr="00EE3732" w:rsidRDefault="00EE3732" w:rsidP="00EE3732">
            <w:pPr>
              <w:jc w:val="center"/>
              <w:rPr>
                <w:rFonts w:ascii="Arial" w:hAnsi="Arial" w:cs="Arial"/>
                <w:sz w:val="20"/>
                <w:szCs w:val="20"/>
              </w:rPr>
            </w:pPr>
            <w:r w:rsidRPr="00EE3732">
              <w:rPr>
                <w:rFonts w:ascii="Arial" w:hAnsi="Arial" w:cs="Arial"/>
                <w:sz w:val="20"/>
                <w:szCs w:val="20"/>
              </w:rPr>
              <w:t>320.4</w:t>
            </w:r>
          </w:p>
        </w:tc>
        <w:tc>
          <w:tcPr>
            <w:tcW w:w="0" w:type="auto"/>
          </w:tcPr>
          <w:p w14:paraId="7FB1E995" w14:textId="02B62CED" w:rsidR="00EE3732" w:rsidRPr="00EE3732" w:rsidRDefault="00EE3732" w:rsidP="00EE3732">
            <w:pPr>
              <w:jc w:val="center"/>
              <w:rPr>
                <w:rFonts w:ascii="Arial" w:hAnsi="Arial" w:cs="Arial"/>
                <w:sz w:val="20"/>
                <w:szCs w:val="20"/>
              </w:rPr>
            </w:pPr>
            <w:r w:rsidRPr="00EE3732">
              <w:rPr>
                <w:rFonts w:ascii="Arial" w:hAnsi="Arial" w:cs="Arial"/>
                <w:sz w:val="20"/>
                <w:szCs w:val="20"/>
              </w:rPr>
              <w:t>314.7</w:t>
            </w:r>
          </w:p>
        </w:tc>
        <w:tc>
          <w:tcPr>
            <w:tcW w:w="0" w:type="auto"/>
          </w:tcPr>
          <w:p w14:paraId="675AEF24" w14:textId="21E630F4" w:rsidR="00EE3732" w:rsidRPr="00EE3732" w:rsidRDefault="00EE3732" w:rsidP="00EE3732">
            <w:pPr>
              <w:jc w:val="center"/>
              <w:rPr>
                <w:rFonts w:ascii="Arial" w:hAnsi="Arial" w:cs="Arial"/>
                <w:sz w:val="20"/>
                <w:szCs w:val="20"/>
              </w:rPr>
            </w:pPr>
            <w:r w:rsidRPr="00EE3732">
              <w:rPr>
                <w:rFonts w:ascii="Arial" w:hAnsi="Arial" w:cs="Arial"/>
                <w:sz w:val="20"/>
                <w:szCs w:val="20"/>
              </w:rPr>
              <w:t>5.7</w:t>
            </w:r>
          </w:p>
        </w:tc>
        <w:tc>
          <w:tcPr>
            <w:tcW w:w="0" w:type="auto"/>
          </w:tcPr>
          <w:p w14:paraId="26951537" w14:textId="16F0C49B" w:rsidR="00EE3732" w:rsidRPr="00EE3732" w:rsidRDefault="00EE3732" w:rsidP="00EE3732">
            <w:pPr>
              <w:jc w:val="center"/>
              <w:rPr>
                <w:rFonts w:ascii="Arial" w:hAnsi="Arial" w:cs="Arial"/>
                <w:sz w:val="20"/>
                <w:szCs w:val="20"/>
              </w:rPr>
            </w:pPr>
            <w:r w:rsidRPr="00EE3732">
              <w:rPr>
                <w:rFonts w:ascii="Arial" w:hAnsi="Arial" w:cs="Arial"/>
                <w:sz w:val="20"/>
                <w:szCs w:val="20"/>
              </w:rPr>
              <w:t>1.8%</w:t>
            </w:r>
          </w:p>
        </w:tc>
      </w:tr>
      <w:tr w:rsidR="00EE3732" w14:paraId="437C16C7" w14:textId="77777777" w:rsidTr="001D2BA7">
        <w:trPr>
          <w:jc w:val="center"/>
        </w:trPr>
        <w:tc>
          <w:tcPr>
            <w:tcW w:w="0" w:type="auto"/>
            <w:vMerge/>
          </w:tcPr>
          <w:p w14:paraId="1A82FDA9" w14:textId="77777777" w:rsidR="00EE3732" w:rsidRDefault="00EE3732" w:rsidP="00EE3732">
            <w:pPr>
              <w:keepNext/>
              <w:keepLines/>
              <w:jc w:val="center"/>
              <w:rPr>
                <w:rFonts w:ascii="Arial" w:hAnsi="Arial" w:cs="Arial"/>
                <w:sz w:val="20"/>
                <w:szCs w:val="20"/>
              </w:rPr>
            </w:pPr>
          </w:p>
        </w:tc>
        <w:tc>
          <w:tcPr>
            <w:tcW w:w="0" w:type="auto"/>
          </w:tcPr>
          <w:p w14:paraId="2E49EAED" w14:textId="4F5D38EB" w:rsidR="00EE3732" w:rsidRDefault="00EE3732" w:rsidP="00EE3732">
            <w:pPr>
              <w:keepNext/>
              <w:keepLines/>
              <w:jc w:val="center"/>
              <w:rPr>
                <w:rFonts w:ascii="Arial" w:hAnsi="Arial" w:cs="Arial"/>
                <w:sz w:val="20"/>
                <w:szCs w:val="20"/>
              </w:rPr>
            </w:pPr>
            <w:r>
              <w:rPr>
                <w:rFonts w:ascii="Arial" w:hAnsi="Arial" w:cs="Arial"/>
                <w:sz w:val="20"/>
                <w:szCs w:val="20"/>
              </w:rPr>
              <w:t>7</w:t>
            </w:r>
          </w:p>
        </w:tc>
        <w:tc>
          <w:tcPr>
            <w:tcW w:w="0" w:type="auto"/>
          </w:tcPr>
          <w:p w14:paraId="64C65838" w14:textId="088BAEF0" w:rsidR="00EE3732" w:rsidRPr="007E0A27" w:rsidRDefault="00EE3732" w:rsidP="00EE3732">
            <w:pPr>
              <w:keepNext/>
              <w:keepLines/>
              <w:rPr>
                <w:rFonts w:ascii="Arial" w:hAnsi="Arial" w:cs="Arial"/>
                <w:sz w:val="20"/>
                <w:szCs w:val="20"/>
              </w:rPr>
            </w:pPr>
            <w:r>
              <w:rPr>
                <w:rFonts w:ascii="Arial" w:hAnsi="Arial" w:cs="Arial"/>
                <w:sz w:val="20"/>
                <w:szCs w:val="20"/>
              </w:rPr>
              <w:t>10/6/2014</w:t>
            </w:r>
          </w:p>
        </w:tc>
        <w:tc>
          <w:tcPr>
            <w:tcW w:w="0" w:type="auto"/>
            <w:vAlign w:val="bottom"/>
          </w:tcPr>
          <w:p w14:paraId="2833392F" w14:textId="5F36E8A4" w:rsidR="00EE3732" w:rsidRPr="007E0A27" w:rsidRDefault="00EE3732" w:rsidP="00EE3732">
            <w:pPr>
              <w:keepNext/>
              <w:keepLines/>
              <w:rPr>
                <w:rFonts w:ascii="Arial" w:hAnsi="Arial" w:cs="Arial"/>
                <w:sz w:val="20"/>
                <w:szCs w:val="20"/>
              </w:rPr>
            </w:pPr>
            <w:r>
              <w:rPr>
                <w:rFonts w:ascii="Arial" w:hAnsi="Arial" w:cs="Arial"/>
                <w:sz w:val="20"/>
                <w:szCs w:val="20"/>
              </w:rPr>
              <w:t>Monday</w:t>
            </w:r>
          </w:p>
        </w:tc>
        <w:tc>
          <w:tcPr>
            <w:tcW w:w="0" w:type="auto"/>
          </w:tcPr>
          <w:p w14:paraId="50257593" w14:textId="2DB32F1F" w:rsidR="00EE3732" w:rsidRPr="00EE3732" w:rsidRDefault="00EE3732" w:rsidP="00EE3732">
            <w:pPr>
              <w:jc w:val="center"/>
              <w:rPr>
                <w:rFonts w:ascii="Arial" w:hAnsi="Arial" w:cs="Arial"/>
                <w:sz w:val="20"/>
                <w:szCs w:val="20"/>
              </w:rPr>
            </w:pPr>
            <w:r w:rsidRPr="00EE3732">
              <w:rPr>
                <w:rFonts w:ascii="Arial" w:hAnsi="Arial" w:cs="Arial"/>
                <w:sz w:val="20"/>
                <w:szCs w:val="20"/>
              </w:rPr>
              <w:t>322.3</w:t>
            </w:r>
          </w:p>
        </w:tc>
        <w:tc>
          <w:tcPr>
            <w:tcW w:w="0" w:type="auto"/>
          </w:tcPr>
          <w:p w14:paraId="481C5667" w14:textId="4E2396AC" w:rsidR="00EE3732" w:rsidRPr="00EE3732" w:rsidRDefault="00EE3732" w:rsidP="00EE3732">
            <w:pPr>
              <w:jc w:val="center"/>
              <w:rPr>
                <w:rFonts w:ascii="Arial" w:hAnsi="Arial" w:cs="Arial"/>
                <w:sz w:val="20"/>
                <w:szCs w:val="20"/>
              </w:rPr>
            </w:pPr>
            <w:r w:rsidRPr="00EE3732">
              <w:rPr>
                <w:rFonts w:ascii="Arial" w:hAnsi="Arial" w:cs="Arial"/>
                <w:sz w:val="20"/>
                <w:szCs w:val="20"/>
              </w:rPr>
              <w:t>320.3</w:t>
            </w:r>
          </w:p>
        </w:tc>
        <w:tc>
          <w:tcPr>
            <w:tcW w:w="0" w:type="auto"/>
          </w:tcPr>
          <w:p w14:paraId="022B8AA2" w14:textId="4658193A" w:rsidR="00EE3732" w:rsidRPr="00EE3732" w:rsidRDefault="00EE3732" w:rsidP="00EE3732">
            <w:pPr>
              <w:jc w:val="center"/>
              <w:rPr>
                <w:rFonts w:ascii="Arial" w:hAnsi="Arial" w:cs="Arial"/>
                <w:sz w:val="20"/>
                <w:szCs w:val="20"/>
              </w:rPr>
            </w:pPr>
            <w:r w:rsidRPr="00EE3732">
              <w:rPr>
                <w:rFonts w:ascii="Arial" w:hAnsi="Arial" w:cs="Arial"/>
                <w:sz w:val="20"/>
                <w:szCs w:val="20"/>
              </w:rPr>
              <w:t>2.0</w:t>
            </w:r>
          </w:p>
        </w:tc>
        <w:tc>
          <w:tcPr>
            <w:tcW w:w="0" w:type="auto"/>
          </w:tcPr>
          <w:p w14:paraId="5B721AD4" w14:textId="3CCCB09E" w:rsidR="00EE3732" w:rsidRPr="00EE3732" w:rsidRDefault="00EE3732" w:rsidP="00EE3732">
            <w:pPr>
              <w:jc w:val="center"/>
              <w:rPr>
                <w:rFonts w:ascii="Arial" w:hAnsi="Arial" w:cs="Arial"/>
                <w:sz w:val="20"/>
                <w:szCs w:val="20"/>
              </w:rPr>
            </w:pPr>
            <w:r w:rsidRPr="00EE3732">
              <w:rPr>
                <w:rFonts w:ascii="Arial" w:hAnsi="Arial" w:cs="Arial"/>
                <w:sz w:val="20"/>
                <w:szCs w:val="20"/>
              </w:rPr>
              <w:t>0.6%</w:t>
            </w:r>
          </w:p>
        </w:tc>
      </w:tr>
      <w:tr w:rsidR="00EE3732" w14:paraId="72B1D7E1" w14:textId="77777777" w:rsidTr="001D2BA7">
        <w:trPr>
          <w:jc w:val="center"/>
        </w:trPr>
        <w:tc>
          <w:tcPr>
            <w:tcW w:w="0" w:type="auto"/>
            <w:vMerge/>
          </w:tcPr>
          <w:p w14:paraId="0A82A005" w14:textId="77777777" w:rsidR="00EE3732" w:rsidRDefault="00EE3732" w:rsidP="00EE3732">
            <w:pPr>
              <w:keepNext/>
              <w:keepLines/>
              <w:jc w:val="center"/>
              <w:rPr>
                <w:rFonts w:ascii="Arial" w:hAnsi="Arial" w:cs="Arial"/>
                <w:sz w:val="20"/>
                <w:szCs w:val="20"/>
              </w:rPr>
            </w:pPr>
          </w:p>
        </w:tc>
        <w:tc>
          <w:tcPr>
            <w:tcW w:w="0" w:type="auto"/>
            <w:gridSpan w:val="3"/>
          </w:tcPr>
          <w:p w14:paraId="50419D7B" w14:textId="77777777" w:rsidR="00EE3732" w:rsidRPr="007933BB" w:rsidRDefault="00EE3732" w:rsidP="00EE3732">
            <w:pPr>
              <w:keepNext/>
              <w:keepLines/>
              <w:jc w:val="right"/>
              <w:rPr>
                <w:rFonts w:ascii="Arial" w:hAnsi="Arial" w:cs="Arial"/>
                <w:b/>
                <w:sz w:val="20"/>
                <w:szCs w:val="20"/>
              </w:rPr>
            </w:pPr>
            <w:r w:rsidRPr="007933BB">
              <w:rPr>
                <w:rFonts w:ascii="Arial" w:hAnsi="Arial" w:cs="Arial"/>
                <w:b/>
                <w:sz w:val="20"/>
                <w:szCs w:val="20"/>
              </w:rPr>
              <w:t>Average</w:t>
            </w:r>
          </w:p>
        </w:tc>
        <w:tc>
          <w:tcPr>
            <w:tcW w:w="0" w:type="auto"/>
          </w:tcPr>
          <w:p w14:paraId="00436455" w14:textId="25C1A5AB" w:rsidR="00EE3732" w:rsidRPr="00EE3732" w:rsidRDefault="00EE3732" w:rsidP="00EE3732">
            <w:pPr>
              <w:jc w:val="center"/>
              <w:rPr>
                <w:rFonts w:ascii="Arial" w:hAnsi="Arial" w:cs="Arial"/>
                <w:b/>
                <w:sz w:val="20"/>
                <w:szCs w:val="20"/>
              </w:rPr>
            </w:pPr>
            <w:r w:rsidRPr="00EE3732">
              <w:rPr>
                <w:rFonts w:ascii="Arial" w:hAnsi="Arial" w:cs="Arial"/>
                <w:b/>
                <w:sz w:val="20"/>
                <w:szCs w:val="20"/>
              </w:rPr>
              <w:t>354.3</w:t>
            </w:r>
          </w:p>
        </w:tc>
        <w:tc>
          <w:tcPr>
            <w:tcW w:w="0" w:type="auto"/>
          </w:tcPr>
          <w:p w14:paraId="346CD2E4" w14:textId="10FD596E" w:rsidR="00EE3732" w:rsidRPr="00EE3732" w:rsidRDefault="00EE3732" w:rsidP="00EE3732">
            <w:pPr>
              <w:jc w:val="center"/>
              <w:rPr>
                <w:rFonts w:ascii="Arial" w:hAnsi="Arial" w:cs="Arial"/>
                <w:b/>
                <w:sz w:val="20"/>
                <w:szCs w:val="20"/>
              </w:rPr>
            </w:pPr>
            <w:r w:rsidRPr="00EE3732">
              <w:rPr>
                <w:rFonts w:ascii="Arial" w:hAnsi="Arial" w:cs="Arial"/>
                <w:b/>
                <w:sz w:val="20"/>
                <w:szCs w:val="20"/>
              </w:rPr>
              <w:t>349.1</w:t>
            </w:r>
          </w:p>
        </w:tc>
        <w:tc>
          <w:tcPr>
            <w:tcW w:w="0" w:type="auto"/>
          </w:tcPr>
          <w:p w14:paraId="4DE34FA4" w14:textId="625C8F4D" w:rsidR="00EE3732" w:rsidRPr="00EE3732" w:rsidRDefault="00EE3732" w:rsidP="00EE3732">
            <w:pPr>
              <w:jc w:val="center"/>
              <w:rPr>
                <w:rFonts w:ascii="Arial" w:hAnsi="Arial" w:cs="Arial"/>
                <w:b/>
                <w:sz w:val="20"/>
                <w:szCs w:val="20"/>
              </w:rPr>
            </w:pPr>
            <w:r w:rsidRPr="00EE3732">
              <w:rPr>
                <w:rFonts w:ascii="Arial" w:hAnsi="Arial" w:cs="Arial"/>
                <w:b/>
                <w:sz w:val="20"/>
                <w:szCs w:val="20"/>
              </w:rPr>
              <w:t>5.3</w:t>
            </w:r>
          </w:p>
        </w:tc>
        <w:tc>
          <w:tcPr>
            <w:tcW w:w="0" w:type="auto"/>
          </w:tcPr>
          <w:p w14:paraId="24733480" w14:textId="13F25B9C" w:rsidR="00EE3732" w:rsidRPr="00EE3732" w:rsidRDefault="00EE3732" w:rsidP="00EE3732">
            <w:pPr>
              <w:jc w:val="center"/>
              <w:rPr>
                <w:rFonts w:ascii="Arial" w:hAnsi="Arial" w:cs="Arial"/>
                <w:b/>
                <w:sz w:val="20"/>
                <w:szCs w:val="20"/>
              </w:rPr>
            </w:pPr>
            <w:r w:rsidRPr="00EE3732">
              <w:rPr>
                <w:rFonts w:ascii="Arial" w:hAnsi="Arial" w:cs="Arial"/>
                <w:b/>
                <w:sz w:val="20"/>
                <w:szCs w:val="20"/>
              </w:rPr>
              <w:t>1.5%</w:t>
            </w:r>
          </w:p>
        </w:tc>
      </w:tr>
      <w:tr w:rsidR="00EE3732" w14:paraId="6FECAE54" w14:textId="77777777" w:rsidTr="00587396">
        <w:trPr>
          <w:jc w:val="center"/>
        </w:trPr>
        <w:tc>
          <w:tcPr>
            <w:tcW w:w="0" w:type="auto"/>
            <w:vMerge/>
          </w:tcPr>
          <w:p w14:paraId="2BB3DA96" w14:textId="77777777" w:rsidR="00EE3732" w:rsidRDefault="00EE3732" w:rsidP="00EE3732">
            <w:pPr>
              <w:keepNext/>
              <w:keepLines/>
              <w:jc w:val="center"/>
              <w:rPr>
                <w:rFonts w:ascii="Arial" w:hAnsi="Arial" w:cs="Arial"/>
                <w:sz w:val="20"/>
                <w:szCs w:val="20"/>
              </w:rPr>
            </w:pPr>
          </w:p>
        </w:tc>
        <w:tc>
          <w:tcPr>
            <w:tcW w:w="0" w:type="auto"/>
            <w:gridSpan w:val="3"/>
          </w:tcPr>
          <w:p w14:paraId="2DD56C1C" w14:textId="77777777" w:rsidR="00EE3732" w:rsidRPr="007933BB" w:rsidRDefault="00EE3732" w:rsidP="00EE3732">
            <w:pPr>
              <w:keepNext/>
              <w:keepLines/>
              <w:jc w:val="right"/>
              <w:rPr>
                <w:rFonts w:ascii="Arial" w:hAnsi="Arial" w:cs="Arial"/>
                <w:b/>
                <w:sz w:val="20"/>
                <w:szCs w:val="20"/>
              </w:rPr>
            </w:pPr>
            <w:r w:rsidRPr="007933BB">
              <w:rPr>
                <w:rFonts w:ascii="Arial" w:hAnsi="Arial" w:cs="Arial"/>
                <w:b/>
                <w:sz w:val="20"/>
                <w:szCs w:val="20"/>
              </w:rPr>
              <w:t>Std. Dev.</w:t>
            </w:r>
          </w:p>
        </w:tc>
        <w:tc>
          <w:tcPr>
            <w:tcW w:w="0" w:type="auto"/>
          </w:tcPr>
          <w:p w14:paraId="6FA129D0" w14:textId="77777777" w:rsidR="00EE3732" w:rsidRPr="00EE3732" w:rsidRDefault="00EE3732" w:rsidP="00EE3732">
            <w:pPr>
              <w:jc w:val="center"/>
              <w:rPr>
                <w:rFonts w:ascii="Arial" w:hAnsi="Arial" w:cs="Arial"/>
                <w:b/>
                <w:sz w:val="20"/>
                <w:szCs w:val="20"/>
              </w:rPr>
            </w:pPr>
          </w:p>
        </w:tc>
        <w:tc>
          <w:tcPr>
            <w:tcW w:w="0" w:type="auto"/>
          </w:tcPr>
          <w:p w14:paraId="14CE00E2" w14:textId="77777777" w:rsidR="00EE3732" w:rsidRPr="00EE3732" w:rsidRDefault="00EE3732" w:rsidP="00EE3732">
            <w:pPr>
              <w:jc w:val="center"/>
              <w:rPr>
                <w:rFonts w:ascii="Arial" w:hAnsi="Arial" w:cs="Arial"/>
                <w:b/>
                <w:sz w:val="20"/>
                <w:szCs w:val="20"/>
              </w:rPr>
            </w:pPr>
          </w:p>
        </w:tc>
        <w:tc>
          <w:tcPr>
            <w:tcW w:w="0" w:type="auto"/>
          </w:tcPr>
          <w:p w14:paraId="3E049C5E" w14:textId="53B132F5" w:rsidR="00EE3732" w:rsidRPr="00EE3732" w:rsidRDefault="00EE3732" w:rsidP="00EE3732">
            <w:pPr>
              <w:jc w:val="center"/>
              <w:rPr>
                <w:rFonts w:ascii="Arial" w:hAnsi="Arial" w:cs="Arial"/>
                <w:b/>
                <w:sz w:val="20"/>
                <w:szCs w:val="20"/>
              </w:rPr>
            </w:pPr>
            <w:r w:rsidRPr="00EE3732">
              <w:rPr>
                <w:rFonts w:ascii="Arial" w:hAnsi="Arial" w:cs="Arial"/>
                <w:b/>
                <w:sz w:val="20"/>
                <w:szCs w:val="20"/>
              </w:rPr>
              <w:t>3.1</w:t>
            </w:r>
          </w:p>
        </w:tc>
        <w:tc>
          <w:tcPr>
            <w:tcW w:w="0" w:type="auto"/>
          </w:tcPr>
          <w:p w14:paraId="51EF99D0" w14:textId="4FFCBF30" w:rsidR="00EE3732" w:rsidRPr="00EE3732" w:rsidRDefault="00EE3732" w:rsidP="00EE3732">
            <w:pPr>
              <w:jc w:val="center"/>
              <w:rPr>
                <w:rFonts w:ascii="Arial" w:hAnsi="Arial" w:cs="Arial"/>
                <w:b/>
                <w:sz w:val="20"/>
                <w:szCs w:val="20"/>
              </w:rPr>
            </w:pPr>
            <w:r w:rsidRPr="00EE3732">
              <w:rPr>
                <w:rFonts w:ascii="Arial" w:hAnsi="Arial" w:cs="Arial"/>
                <w:b/>
                <w:sz w:val="20"/>
                <w:szCs w:val="20"/>
              </w:rPr>
              <w:t>0.9%</w:t>
            </w:r>
          </w:p>
        </w:tc>
      </w:tr>
    </w:tbl>
    <w:p w14:paraId="65E8D0B0" w14:textId="77777777" w:rsidR="00321E09" w:rsidRDefault="00321E09" w:rsidP="00FA5E97"/>
    <w:p w14:paraId="2F9AD9AA" w14:textId="7B1D49E3" w:rsidR="002D39E4" w:rsidRDefault="002D39E4" w:rsidP="002D39E4">
      <w:r w:rsidRPr="002D39E4">
        <w:t xml:space="preserve">Table 4.7 compares the bid quantities to the estimated load impacts for each event. Across all events, the bid amount averaged approximately </w:t>
      </w:r>
      <w:r w:rsidR="00C33A37">
        <w:t>13</w:t>
      </w:r>
      <w:r w:rsidR="00B724FE">
        <w:t>3</w:t>
      </w:r>
      <w:r w:rsidR="00E20FF8">
        <w:t>.</w:t>
      </w:r>
      <w:r w:rsidR="00B724FE">
        <w:t>1</w:t>
      </w:r>
      <w:r w:rsidR="00C33A37">
        <w:t xml:space="preserve"> </w:t>
      </w:r>
      <w:r w:rsidRPr="002D39E4">
        <w:t xml:space="preserve">MW, while the estimated average hourly load impact was </w:t>
      </w:r>
      <w:r w:rsidR="00B724FE">
        <w:t>106.7</w:t>
      </w:r>
      <w:r w:rsidRPr="002D39E4">
        <w:t xml:space="preserve"> MW. The average bid realization rate (estimated load impacts as a percentage of bid amounts) across all event hours was </w:t>
      </w:r>
      <w:r w:rsidR="00E20FF8">
        <w:t>8</w:t>
      </w:r>
      <w:r w:rsidR="00B724FE">
        <w:t>0.1</w:t>
      </w:r>
      <w:r w:rsidRPr="002D39E4">
        <w:t xml:space="preserve"> percent.</w:t>
      </w:r>
      <w:r w:rsidR="00414097">
        <w:t xml:space="preserve"> </w:t>
      </w:r>
      <w:r w:rsidR="00C85CD7">
        <w:t xml:space="preserve">The bottom panel of Table 4.7 shows that the bid realization rate is </w:t>
      </w:r>
      <w:r w:rsidR="00E20FF8">
        <w:t>much lower</w:t>
      </w:r>
      <w:r w:rsidR="00C85CD7">
        <w:t xml:space="preserve"> (</w:t>
      </w:r>
      <w:r w:rsidR="00B724FE">
        <w:t>29</w:t>
      </w:r>
      <w:r w:rsidR="00C85CD7">
        <w:t xml:space="preserve"> percent) for the customers who were not enrolled in another DR program.</w:t>
      </w:r>
    </w:p>
    <w:p w14:paraId="629D0D8C" w14:textId="77777777" w:rsidR="00321E09" w:rsidRDefault="00321E09" w:rsidP="00C70F01"/>
    <w:p w14:paraId="3E1D95F1" w14:textId="4DCEB466" w:rsidR="00321E09" w:rsidRPr="00852320" w:rsidRDefault="00321E09" w:rsidP="00413FAA">
      <w:pPr>
        <w:pStyle w:val="TableCaption"/>
        <w:keepNext/>
        <w:keepLines/>
      </w:pPr>
      <w:bookmarkStart w:id="114" w:name="_Toc415761880"/>
      <w:r w:rsidRPr="00852320">
        <w:lastRenderedPageBreak/>
        <w:t>Table 4.</w:t>
      </w:r>
      <w:r w:rsidR="006C0BBF" w:rsidRPr="00852320">
        <w:t>7</w:t>
      </w:r>
      <w:r w:rsidRPr="00852320">
        <w:t>: Average</w:t>
      </w:r>
      <w:r w:rsidR="00742A4F">
        <w:t xml:space="preserve"> </w:t>
      </w:r>
      <w:r w:rsidR="00370C78">
        <w:t>Event-</w:t>
      </w:r>
      <w:r w:rsidRPr="00852320">
        <w:t>Hour Bid Realization Rates by Event</w:t>
      </w:r>
      <w:r w:rsidRPr="00852320">
        <w:rPr>
          <w:i/>
        </w:rPr>
        <w:t>, SCE</w:t>
      </w:r>
      <w:bookmarkEnd w:id="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761"/>
        <w:gridCol w:w="1106"/>
        <w:gridCol w:w="1298"/>
        <w:gridCol w:w="1365"/>
        <w:gridCol w:w="1511"/>
        <w:gridCol w:w="1233"/>
      </w:tblGrid>
      <w:tr w:rsidR="007933BB" w14:paraId="565887A1" w14:textId="77777777" w:rsidTr="0005199B">
        <w:trPr>
          <w:jc w:val="center"/>
        </w:trPr>
        <w:tc>
          <w:tcPr>
            <w:tcW w:w="0" w:type="auto"/>
            <w:shd w:val="clear" w:color="auto" w:fill="D9E2F3"/>
            <w:vAlign w:val="center"/>
          </w:tcPr>
          <w:p w14:paraId="100E0F7A" w14:textId="77777777" w:rsidR="007933BB" w:rsidRPr="007E0A27" w:rsidRDefault="007933BB" w:rsidP="007E0A27">
            <w:pPr>
              <w:keepNext/>
              <w:keepLines/>
              <w:jc w:val="center"/>
              <w:rPr>
                <w:rFonts w:ascii="Arial" w:hAnsi="Arial" w:cs="Arial"/>
                <w:b/>
                <w:sz w:val="20"/>
                <w:szCs w:val="20"/>
              </w:rPr>
            </w:pPr>
            <w:r>
              <w:rPr>
                <w:rFonts w:ascii="Arial" w:hAnsi="Arial" w:cs="Arial"/>
                <w:b/>
                <w:sz w:val="20"/>
                <w:szCs w:val="20"/>
              </w:rPr>
              <w:t>Customer Group</w:t>
            </w:r>
          </w:p>
        </w:tc>
        <w:tc>
          <w:tcPr>
            <w:tcW w:w="0" w:type="auto"/>
            <w:shd w:val="clear" w:color="auto" w:fill="D9E2F3"/>
            <w:vAlign w:val="center"/>
          </w:tcPr>
          <w:p w14:paraId="06747565"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Event</w:t>
            </w:r>
          </w:p>
        </w:tc>
        <w:tc>
          <w:tcPr>
            <w:tcW w:w="0" w:type="auto"/>
            <w:shd w:val="clear" w:color="auto" w:fill="D9E2F3"/>
            <w:vAlign w:val="center"/>
          </w:tcPr>
          <w:p w14:paraId="3CC84E67"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Date</w:t>
            </w:r>
          </w:p>
        </w:tc>
        <w:tc>
          <w:tcPr>
            <w:tcW w:w="0" w:type="auto"/>
            <w:shd w:val="clear" w:color="auto" w:fill="D9E2F3"/>
            <w:vAlign w:val="center"/>
          </w:tcPr>
          <w:p w14:paraId="6B748D6C"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Day of Week</w:t>
            </w:r>
          </w:p>
        </w:tc>
        <w:tc>
          <w:tcPr>
            <w:tcW w:w="0" w:type="auto"/>
            <w:shd w:val="clear" w:color="auto" w:fill="D9E2F3"/>
          </w:tcPr>
          <w:p w14:paraId="7162576D"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Average Bid Quantity (MW)</w:t>
            </w:r>
          </w:p>
        </w:tc>
        <w:tc>
          <w:tcPr>
            <w:tcW w:w="0" w:type="auto"/>
            <w:shd w:val="clear" w:color="auto" w:fill="D9E2F3"/>
            <w:vAlign w:val="center"/>
          </w:tcPr>
          <w:p w14:paraId="64C0DFB7"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565357B4" w14:textId="77777777" w:rsidR="007933BB" w:rsidRPr="007E0A27" w:rsidRDefault="007933BB" w:rsidP="007E0A27">
            <w:pPr>
              <w:keepNext/>
              <w:keepLines/>
              <w:jc w:val="center"/>
              <w:rPr>
                <w:rFonts w:ascii="Arial" w:hAnsi="Arial" w:cs="Arial"/>
                <w:b/>
                <w:sz w:val="20"/>
                <w:szCs w:val="20"/>
              </w:rPr>
            </w:pPr>
            <w:r w:rsidRPr="007E0A27">
              <w:rPr>
                <w:rFonts w:ascii="Arial" w:hAnsi="Arial" w:cs="Arial"/>
                <w:b/>
                <w:sz w:val="20"/>
                <w:szCs w:val="20"/>
              </w:rPr>
              <w:t>LI as % of Bid Amount</w:t>
            </w:r>
          </w:p>
        </w:tc>
      </w:tr>
      <w:tr w:rsidR="00B724FE" w14:paraId="13312CFF" w14:textId="77777777" w:rsidTr="007933BB">
        <w:trPr>
          <w:jc w:val="center"/>
        </w:trPr>
        <w:tc>
          <w:tcPr>
            <w:tcW w:w="0" w:type="auto"/>
            <w:vMerge w:val="restart"/>
            <w:vAlign w:val="center"/>
          </w:tcPr>
          <w:p w14:paraId="1D581344" w14:textId="77777777" w:rsidR="00B724FE" w:rsidRPr="007933BB" w:rsidRDefault="00B724FE" w:rsidP="00B724FE">
            <w:pPr>
              <w:keepNext/>
              <w:keepLines/>
              <w:jc w:val="center"/>
              <w:rPr>
                <w:rFonts w:ascii="Arial" w:hAnsi="Arial" w:cs="Arial"/>
                <w:b/>
                <w:sz w:val="20"/>
                <w:szCs w:val="20"/>
              </w:rPr>
            </w:pPr>
            <w:r w:rsidRPr="007933BB">
              <w:rPr>
                <w:rFonts w:ascii="Arial" w:hAnsi="Arial" w:cs="Arial"/>
                <w:b/>
                <w:sz w:val="20"/>
                <w:szCs w:val="20"/>
              </w:rPr>
              <w:t>All</w:t>
            </w:r>
          </w:p>
        </w:tc>
        <w:tc>
          <w:tcPr>
            <w:tcW w:w="0" w:type="auto"/>
          </w:tcPr>
          <w:p w14:paraId="56E7E122" w14:textId="27934308" w:rsidR="00B724FE" w:rsidRPr="007E0A27" w:rsidRDefault="00B724FE" w:rsidP="00B724FE">
            <w:pPr>
              <w:keepNext/>
              <w:keepLines/>
              <w:jc w:val="center"/>
              <w:rPr>
                <w:rFonts w:ascii="Arial" w:hAnsi="Arial" w:cs="Arial"/>
                <w:sz w:val="20"/>
                <w:szCs w:val="20"/>
              </w:rPr>
            </w:pPr>
            <w:r w:rsidRPr="007E0A27">
              <w:rPr>
                <w:rFonts w:ascii="Arial" w:hAnsi="Arial" w:cs="Arial"/>
                <w:sz w:val="20"/>
                <w:szCs w:val="20"/>
              </w:rPr>
              <w:t>1</w:t>
            </w:r>
          </w:p>
        </w:tc>
        <w:tc>
          <w:tcPr>
            <w:tcW w:w="0" w:type="auto"/>
          </w:tcPr>
          <w:p w14:paraId="18B4AF7E" w14:textId="49D26E36" w:rsidR="00B724FE" w:rsidRPr="007E0A27" w:rsidRDefault="00B724FE" w:rsidP="00B724FE">
            <w:pPr>
              <w:keepNext/>
              <w:keepLines/>
              <w:rPr>
                <w:rFonts w:ascii="Arial" w:hAnsi="Arial" w:cs="Arial"/>
                <w:sz w:val="20"/>
                <w:szCs w:val="20"/>
              </w:rPr>
            </w:pPr>
            <w:r>
              <w:rPr>
                <w:rFonts w:ascii="Arial" w:hAnsi="Arial" w:cs="Arial"/>
                <w:sz w:val="20"/>
                <w:szCs w:val="20"/>
              </w:rPr>
              <w:t>7/14/2014</w:t>
            </w:r>
          </w:p>
        </w:tc>
        <w:tc>
          <w:tcPr>
            <w:tcW w:w="0" w:type="auto"/>
            <w:vAlign w:val="bottom"/>
          </w:tcPr>
          <w:p w14:paraId="66BD3BF4" w14:textId="6F13FA83" w:rsidR="00B724FE" w:rsidRPr="007E0A27"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04B1EEEA" w14:textId="110B4318" w:rsidR="00B724FE" w:rsidRPr="00B724FE" w:rsidRDefault="00B724FE" w:rsidP="00B724FE">
            <w:pPr>
              <w:jc w:val="right"/>
              <w:rPr>
                <w:rFonts w:ascii="Arial" w:hAnsi="Arial" w:cs="Arial"/>
                <w:sz w:val="20"/>
                <w:szCs w:val="20"/>
              </w:rPr>
            </w:pPr>
            <w:r w:rsidRPr="00B724FE">
              <w:rPr>
                <w:rFonts w:ascii="Arial" w:hAnsi="Arial" w:cs="Arial"/>
                <w:sz w:val="20"/>
                <w:szCs w:val="20"/>
              </w:rPr>
              <w:t>162.0</w:t>
            </w:r>
          </w:p>
        </w:tc>
        <w:tc>
          <w:tcPr>
            <w:tcW w:w="0" w:type="auto"/>
          </w:tcPr>
          <w:p w14:paraId="3927305E" w14:textId="7819A19E" w:rsidR="00B724FE" w:rsidRPr="00B724FE" w:rsidRDefault="00B724FE" w:rsidP="00B724FE">
            <w:pPr>
              <w:jc w:val="right"/>
              <w:rPr>
                <w:rFonts w:ascii="Arial" w:hAnsi="Arial" w:cs="Arial"/>
                <w:sz w:val="20"/>
                <w:szCs w:val="20"/>
              </w:rPr>
            </w:pPr>
            <w:r w:rsidRPr="00B724FE">
              <w:rPr>
                <w:rFonts w:ascii="Arial" w:hAnsi="Arial" w:cs="Arial"/>
                <w:sz w:val="20"/>
                <w:szCs w:val="20"/>
              </w:rPr>
              <w:t>142.9</w:t>
            </w:r>
          </w:p>
        </w:tc>
        <w:tc>
          <w:tcPr>
            <w:tcW w:w="0" w:type="auto"/>
          </w:tcPr>
          <w:p w14:paraId="2F776A2E" w14:textId="0A5A298E" w:rsidR="00B724FE" w:rsidRPr="00B724FE" w:rsidRDefault="00B724FE" w:rsidP="00B724FE">
            <w:pPr>
              <w:jc w:val="right"/>
              <w:rPr>
                <w:rFonts w:ascii="Arial" w:hAnsi="Arial" w:cs="Arial"/>
                <w:sz w:val="20"/>
                <w:szCs w:val="20"/>
              </w:rPr>
            </w:pPr>
            <w:r w:rsidRPr="00B724FE">
              <w:rPr>
                <w:rFonts w:ascii="Arial" w:hAnsi="Arial" w:cs="Arial"/>
                <w:sz w:val="20"/>
                <w:szCs w:val="20"/>
              </w:rPr>
              <w:t>88.2%</w:t>
            </w:r>
          </w:p>
        </w:tc>
      </w:tr>
      <w:tr w:rsidR="00B724FE" w14:paraId="3BCA0BF1" w14:textId="77777777" w:rsidTr="007933BB">
        <w:trPr>
          <w:jc w:val="center"/>
        </w:trPr>
        <w:tc>
          <w:tcPr>
            <w:tcW w:w="0" w:type="auto"/>
            <w:vMerge/>
            <w:vAlign w:val="center"/>
          </w:tcPr>
          <w:p w14:paraId="6097F4A6" w14:textId="77777777" w:rsidR="00B724FE" w:rsidRPr="007933BB" w:rsidRDefault="00B724FE" w:rsidP="00B724FE">
            <w:pPr>
              <w:keepNext/>
              <w:keepLines/>
              <w:jc w:val="center"/>
              <w:rPr>
                <w:rFonts w:ascii="Arial" w:hAnsi="Arial" w:cs="Arial"/>
                <w:b/>
                <w:sz w:val="20"/>
                <w:szCs w:val="20"/>
              </w:rPr>
            </w:pPr>
          </w:p>
        </w:tc>
        <w:tc>
          <w:tcPr>
            <w:tcW w:w="0" w:type="auto"/>
          </w:tcPr>
          <w:p w14:paraId="40915F1E" w14:textId="4886776E" w:rsidR="00B724FE" w:rsidRPr="007E0A27" w:rsidRDefault="00B724FE" w:rsidP="00B724FE">
            <w:pPr>
              <w:keepNext/>
              <w:keepLines/>
              <w:jc w:val="center"/>
              <w:rPr>
                <w:rFonts w:ascii="Arial" w:hAnsi="Arial" w:cs="Arial"/>
                <w:sz w:val="20"/>
                <w:szCs w:val="20"/>
              </w:rPr>
            </w:pPr>
            <w:r>
              <w:rPr>
                <w:rFonts w:ascii="Arial" w:hAnsi="Arial" w:cs="Arial"/>
                <w:sz w:val="20"/>
                <w:szCs w:val="20"/>
              </w:rPr>
              <w:t>2</w:t>
            </w:r>
          </w:p>
        </w:tc>
        <w:tc>
          <w:tcPr>
            <w:tcW w:w="0" w:type="auto"/>
          </w:tcPr>
          <w:p w14:paraId="23FAE16F" w14:textId="4E9DE8A1" w:rsidR="00B724FE" w:rsidRPr="007E0A27" w:rsidRDefault="00B724FE" w:rsidP="00B724FE">
            <w:pPr>
              <w:keepNext/>
              <w:keepLines/>
              <w:rPr>
                <w:rFonts w:ascii="Arial" w:hAnsi="Arial" w:cs="Arial"/>
                <w:sz w:val="20"/>
                <w:szCs w:val="20"/>
              </w:rPr>
            </w:pPr>
            <w:r>
              <w:rPr>
                <w:rFonts w:ascii="Arial" w:hAnsi="Arial" w:cs="Arial"/>
                <w:sz w:val="20"/>
                <w:szCs w:val="20"/>
              </w:rPr>
              <w:t>9/8/2014</w:t>
            </w:r>
          </w:p>
        </w:tc>
        <w:tc>
          <w:tcPr>
            <w:tcW w:w="0" w:type="auto"/>
            <w:vAlign w:val="bottom"/>
          </w:tcPr>
          <w:p w14:paraId="6AA72980" w14:textId="5B0420E5" w:rsidR="00B724FE"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29F00CF6" w14:textId="3FF8E981" w:rsidR="00B724FE" w:rsidRPr="00B724FE" w:rsidRDefault="00B724FE" w:rsidP="00B724FE">
            <w:pPr>
              <w:jc w:val="right"/>
              <w:rPr>
                <w:rFonts w:ascii="Arial" w:hAnsi="Arial" w:cs="Arial"/>
                <w:sz w:val="20"/>
                <w:szCs w:val="20"/>
              </w:rPr>
            </w:pPr>
            <w:r w:rsidRPr="00B724FE">
              <w:rPr>
                <w:rFonts w:ascii="Arial" w:hAnsi="Arial" w:cs="Arial"/>
                <w:sz w:val="20"/>
                <w:szCs w:val="20"/>
              </w:rPr>
              <w:t>138.7</w:t>
            </w:r>
          </w:p>
        </w:tc>
        <w:tc>
          <w:tcPr>
            <w:tcW w:w="0" w:type="auto"/>
          </w:tcPr>
          <w:p w14:paraId="792DFDB3" w14:textId="4B22C730" w:rsidR="00B724FE" w:rsidRPr="00B724FE" w:rsidRDefault="00B724FE" w:rsidP="00B724FE">
            <w:pPr>
              <w:jc w:val="right"/>
              <w:rPr>
                <w:rFonts w:ascii="Arial" w:hAnsi="Arial" w:cs="Arial"/>
                <w:sz w:val="20"/>
                <w:szCs w:val="20"/>
              </w:rPr>
            </w:pPr>
            <w:r w:rsidRPr="00B724FE">
              <w:rPr>
                <w:rFonts w:ascii="Arial" w:hAnsi="Arial" w:cs="Arial"/>
                <w:sz w:val="20"/>
                <w:szCs w:val="20"/>
              </w:rPr>
              <w:t>142.6</w:t>
            </w:r>
          </w:p>
        </w:tc>
        <w:tc>
          <w:tcPr>
            <w:tcW w:w="0" w:type="auto"/>
          </w:tcPr>
          <w:p w14:paraId="746AAF0A" w14:textId="104067AA" w:rsidR="00B724FE" w:rsidRPr="00B724FE" w:rsidRDefault="00B724FE" w:rsidP="00B724FE">
            <w:pPr>
              <w:jc w:val="right"/>
              <w:rPr>
                <w:rFonts w:ascii="Arial" w:hAnsi="Arial" w:cs="Arial"/>
                <w:sz w:val="20"/>
                <w:szCs w:val="20"/>
              </w:rPr>
            </w:pPr>
            <w:r w:rsidRPr="00B724FE">
              <w:rPr>
                <w:rFonts w:ascii="Arial" w:hAnsi="Arial" w:cs="Arial"/>
                <w:sz w:val="20"/>
                <w:szCs w:val="20"/>
              </w:rPr>
              <w:t>102.8%</w:t>
            </w:r>
          </w:p>
        </w:tc>
      </w:tr>
      <w:tr w:rsidR="00B724FE" w14:paraId="08184489" w14:textId="77777777" w:rsidTr="007933BB">
        <w:trPr>
          <w:jc w:val="center"/>
        </w:trPr>
        <w:tc>
          <w:tcPr>
            <w:tcW w:w="0" w:type="auto"/>
            <w:vMerge/>
            <w:vAlign w:val="center"/>
          </w:tcPr>
          <w:p w14:paraId="5138F963" w14:textId="77777777" w:rsidR="00B724FE" w:rsidRPr="007933BB" w:rsidRDefault="00B724FE" w:rsidP="00B724FE">
            <w:pPr>
              <w:keepNext/>
              <w:keepLines/>
              <w:jc w:val="center"/>
              <w:rPr>
                <w:rFonts w:ascii="Arial" w:hAnsi="Arial" w:cs="Arial"/>
                <w:b/>
                <w:sz w:val="20"/>
                <w:szCs w:val="20"/>
              </w:rPr>
            </w:pPr>
          </w:p>
        </w:tc>
        <w:tc>
          <w:tcPr>
            <w:tcW w:w="0" w:type="auto"/>
          </w:tcPr>
          <w:p w14:paraId="11C426D4" w14:textId="5CF14944" w:rsidR="00B724FE" w:rsidRPr="007E0A27" w:rsidRDefault="00B724FE" w:rsidP="00B724FE">
            <w:pPr>
              <w:keepNext/>
              <w:keepLines/>
              <w:jc w:val="center"/>
              <w:rPr>
                <w:rFonts w:ascii="Arial" w:hAnsi="Arial" w:cs="Arial"/>
                <w:sz w:val="20"/>
                <w:szCs w:val="20"/>
              </w:rPr>
            </w:pPr>
            <w:r>
              <w:rPr>
                <w:rFonts w:ascii="Arial" w:hAnsi="Arial" w:cs="Arial"/>
                <w:sz w:val="20"/>
                <w:szCs w:val="20"/>
              </w:rPr>
              <w:t>3</w:t>
            </w:r>
          </w:p>
        </w:tc>
        <w:tc>
          <w:tcPr>
            <w:tcW w:w="0" w:type="auto"/>
          </w:tcPr>
          <w:p w14:paraId="2D126104" w14:textId="756FA9D5" w:rsidR="00B724FE" w:rsidRPr="007E0A27" w:rsidRDefault="00B724FE" w:rsidP="00B724FE">
            <w:pPr>
              <w:keepNext/>
              <w:keepLines/>
              <w:rPr>
                <w:rFonts w:ascii="Arial" w:hAnsi="Arial" w:cs="Arial"/>
                <w:sz w:val="20"/>
                <w:szCs w:val="20"/>
              </w:rPr>
            </w:pPr>
            <w:r>
              <w:rPr>
                <w:rFonts w:ascii="Arial" w:hAnsi="Arial" w:cs="Arial"/>
                <w:sz w:val="20"/>
                <w:szCs w:val="20"/>
              </w:rPr>
              <w:t>9/10/2014</w:t>
            </w:r>
          </w:p>
        </w:tc>
        <w:tc>
          <w:tcPr>
            <w:tcW w:w="0" w:type="auto"/>
            <w:vAlign w:val="bottom"/>
          </w:tcPr>
          <w:p w14:paraId="3520B3AA" w14:textId="5EE44B9A" w:rsidR="00B724FE" w:rsidRDefault="00B724FE" w:rsidP="00B724FE">
            <w:pPr>
              <w:keepNext/>
              <w:keepLines/>
              <w:rPr>
                <w:rFonts w:ascii="Arial" w:hAnsi="Arial" w:cs="Arial"/>
                <w:sz w:val="20"/>
                <w:szCs w:val="20"/>
              </w:rPr>
            </w:pPr>
            <w:r>
              <w:rPr>
                <w:rFonts w:ascii="Arial" w:hAnsi="Arial" w:cs="Arial"/>
                <w:sz w:val="20"/>
                <w:szCs w:val="20"/>
              </w:rPr>
              <w:t>Wednesday</w:t>
            </w:r>
          </w:p>
        </w:tc>
        <w:tc>
          <w:tcPr>
            <w:tcW w:w="0" w:type="auto"/>
          </w:tcPr>
          <w:p w14:paraId="42995919" w14:textId="11D59577" w:rsidR="00B724FE" w:rsidRPr="00B724FE" w:rsidRDefault="00B724FE" w:rsidP="00B724FE">
            <w:pPr>
              <w:jc w:val="right"/>
              <w:rPr>
                <w:rFonts w:ascii="Arial" w:hAnsi="Arial" w:cs="Arial"/>
                <w:sz w:val="20"/>
                <w:szCs w:val="20"/>
              </w:rPr>
            </w:pPr>
            <w:r w:rsidRPr="00B724FE">
              <w:rPr>
                <w:rFonts w:ascii="Arial" w:hAnsi="Arial" w:cs="Arial"/>
                <w:sz w:val="20"/>
                <w:szCs w:val="20"/>
              </w:rPr>
              <w:t>113.5</w:t>
            </w:r>
          </w:p>
        </w:tc>
        <w:tc>
          <w:tcPr>
            <w:tcW w:w="0" w:type="auto"/>
          </w:tcPr>
          <w:p w14:paraId="0FFBF3D8" w14:textId="49D3AC41" w:rsidR="00B724FE" w:rsidRPr="00B724FE" w:rsidRDefault="00B724FE" w:rsidP="00B724FE">
            <w:pPr>
              <w:jc w:val="right"/>
              <w:rPr>
                <w:rFonts w:ascii="Arial" w:hAnsi="Arial" w:cs="Arial"/>
                <w:sz w:val="20"/>
                <w:szCs w:val="20"/>
              </w:rPr>
            </w:pPr>
            <w:r w:rsidRPr="00B724FE">
              <w:rPr>
                <w:rFonts w:ascii="Arial" w:hAnsi="Arial" w:cs="Arial"/>
                <w:sz w:val="20"/>
                <w:szCs w:val="20"/>
              </w:rPr>
              <w:t>91.1</w:t>
            </w:r>
          </w:p>
        </w:tc>
        <w:tc>
          <w:tcPr>
            <w:tcW w:w="0" w:type="auto"/>
          </w:tcPr>
          <w:p w14:paraId="4FC65E30" w14:textId="58841207" w:rsidR="00B724FE" w:rsidRPr="00B724FE" w:rsidRDefault="00B724FE" w:rsidP="00B724FE">
            <w:pPr>
              <w:jc w:val="right"/>
              <w:rPr>
                <w:rFonts w:ascii="Arial" w:hAnsi="Arial" w:cs="Arial"/>
                <w:sz w:val="20"/>
                <w:szCs w:val="20"/>
              </w:rPr>
            </w:pPr>
            <w:r w:rsidRPr="00B724FE">
              <w:rPr>
                <w:rFonts w:ascii="Arial" w:hAnsi="Arial" w:cs="Arial"/>
                <w:sz w:val="20"/>
                <w:szCs w:val="20"/>
              </w:rPr>
              <w:t>80.3%</w:t>
            </w:r>
          </w:p>
        </w:tc>
      </w:tr>
      <w:tr w:rsidR="00B724FE" w14:paraId="1EC75C1F" w14:textId="77777777" w:rsidTr="007933BB">
        <w:trPr>
          <w:jc w:val="center"/>
        </w:trPr>
        <w:tc>
          <w:tcPr>
            <w:tcW w:w="0" w:type="auto"/>
            <w:vMerge/>
            <w:vAlign w:val="center"/>
          </w:tcPr>
          <w:p w14:paraId="260A013B" w14:textId="77777777" w:rsidR="00B724FE" w:rsidRPr="007933BB" w:rsidRDefault="00B724FE" w:rsidP="00B724FE">
            <w:pPr>
              <w:keepNext/>
              <w:keepLines/>
              <w:jc w:val="center"/>
              <w:rPr>
                <w:rFonts w:ascii="Arial" w:hAnsi="Arial" w:cs="Arial"/>
                <w:b/>
                <w:sz w:val="20"/>
                <w:szCs w:val="20"/>
              </w:rPr>
            </w:pPr>
          </w:p>
        </w:tc>
        <w:tc>
          <w:tcPr>
            <w:tcW w:w="0" w:type="auto"/>
          </w:tcPr>
          <w:p w14:paraId="68DDF685" w14:textId="4F42FE56" w:rsidR="00B724FE" w:rsidRPr="007E0A27" w:rsidRDefault="00B724FE" w:rsidP="00B724FE">
            <w:pPr>
              <w:keepNext/>
              <w:keepLines/>
              <w:jc w:val="center"/>
              <w:rPr>
                <w:rFonts w:ascii="Arial" w:hAnsi="Arial" w:cs="Arial"/>
                <w:sz w:val="20"/>
                <w:szCs w:val="20"/>
              </w:rPr>
            </w:pPr>
            <w:r>
              <w:rPr>
                <w:rFonts w:ascii="Arial" w:hAnsi="Arial" w:cs="Arial"/>
                <w:sz w:val="20"/>
                <w:szCs w:val="20"/>
              </w:rPr>
              <w:t>4</w:t>
            </w:r>
          </w:p>
        </w:tc>
        <w:tc>
          <w:tcPr>
            <w:tcW w:w="0" w:type="auto"/>
          </w:tcPr>
          <w:p w14:paraId="26472E1A" w14:textId="78F8C9E7" w:rsidR="00B724FE" w:rsidRPr="007E0A27" w:rsidRDefault="00B724FE" w:rsidP="00B724FE">
            <w:pPr>
              <w:keepNext/>
              <w:keepLines/>
              <w:rPr>
                <w:rFonts w:ascii="Arial" w:hAnsi="Arial" w:cs="Arial"/>
                <w:sz w:val="20"/>
                <w:szCs w:val="20"/>
              </w:rPr>
            </w:pPr>
            <w:r>
              <w:rPr>
                <w:rFonts w:ascii="Arial" w:hAnsi="Arial" w:cs="Arial"/>
                <w:sz w:val="20"/>
                <w:szCs w:val="20"/>
              </w:rPr>
              <w:t>9/15/2014</w:t>
            </w:r>
          </w:p>
        </w:tc>
        <w:tc>
          <w:tcPr>
            <w:tcW w:w="0" w:type="auto"/>
            <w:vAlign w:val="bottom"/>
          </w:tcPr>
          <w:p w14:paraId="13C0507F" w14:textId="27BB59FB" w:rsidR="00B724FE"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53DCE2B1" w14:textId="5DB47D45" w:rsidR="00B724FE" w:rsidRPr="00B724FE" w:rsidRDefault="00B724FE" w:rsidP="00B724FE">
            <w:pPr>
              <w:jc w:val="right"/>
              <w:rPr>
                <w:rFonts w:ascii="Arial" w:hAnsi="Arial" w:cs="Arial"/>
                <w:sz w:val="20"/>
                <w:szCs w:val="20"/>
              </w:rPr>
            </w:pPr>
            <w:r w:rsidRPr="00B724FE">
              <w:rPr>
                <w:rFonts w:ascii="Arial" w:hAnsi="Arial" w:cs="Arial"/>
                <w:sz w:val="20"/>
                <w:szCs w:val="20"/>
              </w:rPr>
              <w:t>153.8</w:t>
            </w:r>
          </w:p>
        </w:tc>
        <w:tc>
          <w:tcPr>
            <w:tcW w:w="0" w:type="auto"/>
          </w:tcPr>
          <w:p w14:paraId="5BF16FE0" w14:textId="70369B07" w:rsidR="00B724FE" w:rsidRPr="00B724FE" w:rsidRDefault="00B724FE" w:rsidP="00B724FE">
            <w:pPr>
              <w:jc w:val="right"/>
              <w:rPr>
                <w:rFonts w:ascii="Arial" w:hAnsi="Arial" w:cs="Arial"/>
                <w:sz w:val="20"/>
                <w:szCs w:val="20"/>
              </w:rPr>
            </w:pPr>
            <w:r w:rsidRPr="00B724FE">
              <w:rPr>
                <w:rFonts w:ascii="Arial" w:hAnsi="Arial" w:cs="Arial"/>
                <w:sz w:val="20"/>
                <w:szCs w:val="20"/>
              </w:rPr>
              <w:t>133.4</w:t>
            </w:r>
          </w:p>
        </w:tc>
        <w:tc>
          <w:tcPr>
            <w:tcW w:w="0" w:type="auto"/>
          </w:tcPr>
          <w:p w14:paraId="585DBA77" w14:textId="79E64903" w:rsidR="00B724FE" w:rsidRPr="00B724FE" w:rsidRDefault="00B724FE" w:rsidP="00B724FE">
            <w:pPr>
              <w:jc w:val="right"/>
              <w:rPr>
                <w:rFonts w:ascii="Arial" w:hAnsi="Arial" w:cs="Arial"/>
                <w:sz w:val="20"/>
                <w:szCs w:val="20"/>
              </w:rPr>
            </w:pPr>
            <w:r w:rsidRPr="00B724FE">
              <w:rPr>
                <w:rFonts w:ascii="Arial" w:hAnsi="Arial" w:cs="Arial"/>
                <w:sz w:val="20"/>
                <w:szCs w:val="20"/>
              </w:rPr>
              <w:t>86.7%</w:t>
            </w:r>
          </w:p>
        </w:tc>
      </w:tr>
      <w:tr w:rsidR="00B724FE" w14:paraId="3387F645" w14:textId="77777777" w:rsidTr="007933BB">
        <w:trPr>
          <w:jc w:val="center"/>
        </w:trPr>
        <w:tc>
          <w:tcPr>
            <w:tcW w:w="0" w:type="auto"/>
            <w:vMerge/>
            <w:vAlign w:val="center"/>
          </w:tcPr>
          <w:p w14:paraId="26F7A8AC" w14:textId="77777777" w:rsidR="00B724FE" w:rsidRPr="007933BB" w:rsidRDefault="00B724FE" w:rsidP="00B724FE">
            <w:pPr>
              <w:keepNext/>
              <w:keepLines/>
              <w:jc w:val="center"/>
              <w:rPr>
                <w:rFonts w:ascii="Arial" w:hAnsi="Arial" w:cs="Arial"/>
                <w:b/>
                <w:sz w:val="20"/>
                <w:szCs w:val="20"/>
              </w:rPr>
            </w:pPr>
          </w:p>
        </w:tc>
        <w:tc>
          <w:tcPr>
            <w:tcW w:w="0" w:type="auto"/>
          </w:tcPr>
          <w:p w14:paraId="060E92E6" w14:textId="5977C055" w:rsidR="00B724FE" w:rsidRDefault="00B724FE" w:rsidP="00B724FE">
            <w:pPr>
              <w:keepNext/>
              <w:keepLines/>
              <w:jc w:val="center"/>
              <w:rPr>
                <w:rFonts w:ascii="Arial" w:hAnsi="Arial" w:cs="Arial"/>
                <w:sz w:val="20"/>
                <w:szCs w:val="20"/>
              </w:rPr>
            </w:pPr>
            <w:r>
              <w:rPr>
                <w:rFonts w:ascii="Arial" w:hAnsi="Arial" w:cs="Arial"/>
                <w:sz w:val="20"/>
                <w:szCs w:val="20"/>
              </w:rPr>
              <w:t>5</w:t>
            </w:r>
          </w:p>
        </w:tc>
        <w:tc>
          <w:tcPr>
            <w:tcW w:w="0" w:type="auto"/>
          </w:tcPr>
          <w:p w14:paraId="78262ECF" w14:textId="621A6806" w:rsidR="00B724FE" w:rsidRDefault="00B724FE" w:rsidP="00B724FE">
            <w:pPr>
              <w:keepNext/>
              <w:keepLines/>
              <w:rPr>
                <w:rFonts w:ascii="Arial" w:hAnsi="Arial" w:cs="Arial"/>
                <w:sz w:val="20"/>
                <w:szCs w:val="20"/>
              </w:rPr>
            </w:pPr>
            <w:r>
              <w:rPr>
                <w:rFonts w:ascii="Arial" w:hAnsi="Arial" w:cs="Arial"/>
                <w:sz w:val="20"/>
                <w:szCs w:val="20"/>
              </w:rPr>
              <w:t>9/17/2014</w:t>
            </w:r>
          </w:p>
        </w:tc>
        <w:tc>
          <w:tcPr>
            <w:tcW w:w="0" w:type="auto"/>
            <w:vAlign w:val="bottom"/>
          </w:tcPr>
          <w:p w14:paraId="6BDEB04F" w14:textId="2A15A4A5" w:rsidR="00B724FE" w:rsidRDefault="00B724FE" w:rsidP="00B724FE">
            <w:pPr>
              <w:keepNext/>
              <w:keepLines/>
              <w:rPr>
                <w:rFonts w:ascii="Arial" w:hAnsi="Arial" w:cs="Arial"/>
                <w:sz w:val="20"/>
                <w:szCs w:val="20"/>
              </w:rPr>
            </w:pPr>
            <w:r>
              <w:rPr>
                <w:rFonts w:ascii="Arial" w:hAnsi="Arial" w:cs="Arial"/>
                <w:sz w:val="20"/>
                <w:szCs w:val="20"/>
              </w:rPr>
              <w:t>Wednesday</w:t>
            </w:r>
          </w:p>
        </w:tc>
        <w:tc>
          <w:tcPr>
            <w:tcW w:w="0" w:type="auto"/>
          </w:tcPr>
          <w:p w14:paraId="591EC34E" w14:textId="128BE078" w:rsidR="00B724FE" w:rsidRPr="00B724FE" w:rsidRDefault="00B724FE" w:rsidP="00B724FE">
            <w:pPr>
              <w:jc w:val="right"/>
              <w:rPr>
                <w:rFonts w:ascii="Arial" w:hAnsi="Arial" w:cs="Arial"/>
                <w:sz w:val="20"/>
                <w:szCs w:val="20"/>
              </w:rPr>
            </w:pPr>
            <w:r w:rsidRPr="00B724FE">
              <w:rPr>
                <w:rFonts w:ascii="Arial" w:hAnsi="Arial" w:cs="Arial"/>
                <w:sz w:val="20"/>
                <w:szCs w:val="20"/>
              </w:rPr>
              <w:t>123.6</w:t>
            </w:r>
          </w:p>
        </w:tc>
        <w:tc>
          <w:tcPr>
            <w:tcW w:w="0" w:type="auto"/>
          </w:tcPr>
          <w:p w14:paraId="0C3763E0" w14:textId="1B2F101F" w:rsidR="00B724FE" w:rsidRPr="00B724FE" w:rsidRDefault="00B724FE" w:rsidP="00B724FE">
            <w:pPr>
              <w:jc w:val="right"/>
              <w:rPr>
                <w:rFonts w:ascii="Arial" w:hAnsi="Arial" w:cs="Arial"/>
                <w:sz w:val="20"/>
                <w:szCs w:val="20"/>
              </w:rPr>
            </w:pPr>
            <w:r w:rsidRPr="00B724FE">
              <w:rPr>
                <w:rFonts w:ascii="Arial" w:hAnsi="Arial" w:cs="Arial"/>
                <w:sz w:val="20"/>
                <w:szCs w:val="20"/>
              </w:rPr>
              <w:t>110.1</w:t>
            </w:r>
          </w:p>
        </w:tc>
        <w:tc>
          <w:tcPr>
            <w:tcW w:w="0" w:type="auto"/>
          </w:tcPr>
          <w:p w14:paraId="43FF485D" w14:textId="778A3566" w:rsidR="00B724FE" w:rsidRPr="00B724FE" w:rsidRDefault="00B724FE" w:rsidP="00B724FE">
            <w:pPr>
              <w:jc w:val="right"/>
              <w:rPr>
                <w:rFonts w:ascii="Arial" w:hAnsi="Arial" w:cs="Arial"/>
                <w:sz w:val="20"/>
                <w:szCs w:val="20"/>
              </w:rPr>
            </w:pPr>
            <w:r w:rsidRPr="00B724FE">
              <w:rPr>
                <w:rFonts w:ascii="Arial" w:hAnsi="Arial" w:cs="Arial"/>
                <w:sz w:val="20"/>
                <w:szCs w:val="20"/>
              </w:rPr>
              <w:t>89.1%</w:t>
            </w:r>
          </w:p>
        </w:tc>
      </w:tr>
      <w:tr w:rsidR="00B724FE" w14:paraId="5F48F5BC" w14:textId="77777777" w:rsidTr="007933BB">
        <w:trPr>
          <w:jc w:val="center"/>
        </w:trPr>
        <w:tc>
          <w:tcPr>
            <w:tcW w:w="0" w:type="auto"/>
            <w:vMerge/>
            <w:vAlign w:val="center"/>
          </w:tcPr>
          <w:p w14:paraId="1A25DFB1" w14:textId="77777777" w:rsidR="00B724FE" w:rsidRPr="007933BB" w:rsidRDefault="00B724FE" w:rsidP="00B724FE">
            <w:pPr>
              <w:keepNext/>
              <w:keepLines/>
              <w:jc w:val="center"/>
              <w:rPr>
                <w:rFonts w:ascii="Arial" w:hAnsi="Arial" w:cs="Arial"/>
                <w:b/>
                <w:sz w:val="20"/>
                <w:szCs w:val="20"/>
              </w:rPr>
            </w:pPr>
          </w:p>
        </w:tc>
        <w:tc>
          <w:tcPr>
            <w:tcW w:w="0" w:type="auto"/>
          </w:tcPr>
          <w:p w14:paraId="3A034398" w14:textId="1B5A0817" w:rsidR="00B724FE" w:rsidRDefault="00B724FE" w:rsidP="00B724FE">
            <w:pPr>
              <w:keepNext/>
              <w:keepLines/>
              <w:jc w:val="center"/>
              <w:rPr>
                <w:rFonts w:ascii="Arial" w:hAnsi="Arial" w:cs="Arial"/>
                <w:sz w:val="20"/>
                <w:szCs w:val="20"/>
              </w:rPr>
            </w:pPr>
            <w:r>
              <w:rPr>
                <w:rFonts w:ascii="Arial" w:hAnsi="Arial" w:cs="Arial"/>
                <w:sz w:val="20"/>
                <w:szCs w:val="20"/>
              </w:rPr>
              <w:t>6</w:t>
            </w:r>
          </w:p>
        </w:tc>
        <w:tc>
          <w:tcPr>
            <w:tcW w:w="0" w:type="auto"/>
          </w:tcPr>
          <w:p w14:paraId="2A450433" w14:textId="67F50C08" w:rsidR="00B724FE" w:rsidRDefault="00B724FE" w:rsidP="00B724FE">
            <w:pPr>
              <w:keepNext/>
              <w:keepLines/>
              <w:rPr>
                <w:rFonts w:ascii="Arial" w:hAnsi="Arial" w:cs="Arial"/>
                <w:sz w:val="20"/>
                <w:szCs w:val="20"/>
              </w:rPr>
            </w:pPr>
            <w:r>
              <w:rPr>
                <w:rFonts w:ascii="Arial" w:hAnsi="Arial" w:cs="Arial"/>
                <w:sz w:val="20"/>
                <w:szCs w:val="20"/>
              </w:rPr>
              <w:t>10/2/2014</w:t>
            </w:r>
          </w:p>
        </w:tc>
        <w:tc>
          <w:tcPr>
            <w:tcW w:w="0" w:type="auto"/>
            <w:vAlign w:val="bottom"/>
          </w:tcPr>
          <w:p w14:paraId="34BED42C" w14:textId="3EDB7928" w:rsidR="00B724FE" w:rsidRDefault="00B724FE" w:rsidP="00B724FE">
            <w:pPr>
              <w:keepNext/>
              <w:keepLines/>
              <w:rPr>
                <w:rFonts w:ascii="Arial" w:hAnsi="Arial" w:cs="Arial"/>
                <w:sz w:val="20"/>
                <w:szCs w:val="20"/>
              </w:rPr>
            </w:pPr>
            <w:r>
              <w:rPr>
                <w:rFonts w:ascii="Arial" w:hAnsi="Arial" w:cs="Arial"/>
                <w:sz w:val="20"/>
                <w:szCs w:val="20"/>
              </w:rPr>
              <w:t>Thursday</w:t>
            </w:r>
          </w:p>
        </w:tc>
        <w:tc>
          <w:tcPr>
            <w:tcW w:w="0" w:type="auto"/>
          </w:tcPr>
          <w:p w14:paraId="17DE65F1" w14:textId="0C2F767B" w:rsidR="00B724FE" w:rsidRPr="00B724FE" w:rsidRDefault="00B724FE" w:rsidP="00B724FE">
            <w:pPr>
              <w:jc w:val="right"/>
              <w:rPr>
                <w:rFonts w:ascii="Arial" w:hAnsi="Arial" w:cs="Arial"/>
                <w:sz w:val="20"/>
                <w:szCs w:val="20"/>
              </w:rPr>
            </w:pPr>
            <w:r w:rsidRPr="00B724FE">
              <w:rPr>
                <w:rFonts w:ascii="Arial" w:hAnsi="Arial" w:cs="Arial"/>
                <w:sz w:val="20"/>
                <w:szCs w:val="20"/>
              </w:rPr>
              <w:t>109.9</w:t>
            </w:r>
          </w:p>
        </w:tc>
        <w:tc>
          <w:tcPr>
            <w:tcW w:w="0" w:type="auto"/>
          </w:tcPr>
          <w:p w14:paraId="49F98CBE" w14:textId="13E0F9DE" w:rsidR="00B724FE" w:rsidRPr="00B724FE" w:rsidRDefault="00B724FE" w:rsidP="00B724FE">
            <w:pPr>
              <w:jc w:val="right"/>
              <w:rPr>
                <w:rFonts w:ascii="Arial" w:hAnsi="Arial" w:cs="Arial"/>
                <w:sz w:val="20"/>
                <w:szCs w:val="20"/>
              </w:rPr>
            </w:pPr>
            <w:r w:rsidRPr="00B724FE">
              <w:rPr>
                <w:rFonts w:ascii="Arial" w:hAnsi="Arial" w:cs="Arial"/>
                <w:sz w:val="20"/>
                <w:szCs w:val="20"/>
              </w:rPr>
              <w:t>75.6</w:t>
            </w:r>
          </w:p>
        </w:tc>
        <w:tc>
          <w:tcPr>
            <w:tcW w:w="0" w:type="auto"/>
          </w:tcPr>
          <w:p w14:paraId="059925BA" w14:textId="38DE816E" w:rsidR="00B724FE" w:rsidRPr="00B724FE" w:rsidRDefault="00B724FE" w:rsidP="00B724FE">
            <w:pPr>
              <w:jc w:val="right"/>
              <w:rPr>
                <w:rFonts w:ascii="Arial" w:hAnsi="Arial" w:cs="Arial"/>
                <w:sz w:val="20"/>
                <w:szCs w:val="20"/>
              </w:rPr>
            </w:pPr>
            <w:r w:rsidRPr="00B724FE">
              <w:rPr>
                <w:rFonts w:ascii="Arial" w:hAnsi="Arial" w:cs="Arial"/>
                <w:sz w:val="20"/>
                <w:szCs w:val="20"/>
              </w:rPr>
              <w:t>68.8%</w:t>
            </w:r>
          </w:p>
        </w:tc>
      </w:tr>
      <w:tr w:rsidR="00B724FE" w14:paraId="05081C04" w14:textId="77777777" w:rsidTr="007933BB">
        <w:trPr>
          <w:jc w:val="center"/>
        </w:trPr>
        <w:tc>
          <w:tcPr>
            <w:tcW w:w="0" w:type="auto"/>
            <w:vMerge/>
            <w:vAlign w:val="center"/>
          </w:tcPr>
          <w:p w14:paraId="6125D286" w14:textId="77777777" w:rsidR="00B724FE" w:rsidRPr="007933BB" w:rsidRDefault="00B724FE" w:rsidP="00B724FE">
            <w:pPr>
              <w:keepNext/>
              <w:keepLines/>
              <w:jc w:val="center"/>
              <w:rPr>
                <w:rFonts w:ascii="Arial" w:hAnsi="Arial" w:cs="Arial"/>
                <w:b/>
                <w:sz w:val="20"/>
                <w:szCs w:val="20"/>
              </w:rPr>
            </w:pPr>
          </w:p>
        </w:tc>
        <w:tc>
          <w:tcPr>
            <w:tcW w:w="0" w:type="auto"/>
          </w:tcPr>
          <w:p w14:paraId="030A408A" w14:textId="642C63E4" w:rsidR="00B724FE" w:rsidRPr="007E0A27" w:rsidRDefault="00B724FE" w:rsidP="00B724FE">
            <w:pPr>
              <w:keepNext/>
              <w:keepLines/>
              <w:jc w:val="center"/>
              <w:rPr>
                <w:rFonts w:ascii="Arial" w:hAnsi="Arial" w:cs="Arial"/>
                <w:sz w:val="20"/>
                <w:szCs w:val="20"/>
              </w:rPr>
            </w:pPr>
            <w:r>
              <w:rPr>
                <w:rFonts w:ascii="Arial" w:hAnsi="Arial" w:cs="Arial"/>
                <w:sz w:val="20"/>
                <w:szCs w:val="20"/>
              </w:rPr>
              <w:t>7</w:t>
            </w:r>
          </w:p>
        </w:tc>
        <w:tc>
          <w:tcPr>
            <w:tcW w:w="0" w:type="auto"/>
          </w:tcPr>
          <w:p w14:paraId="3B5AAA27" w14:textId="4391E971" w:rsidR="00B724FE" w:rsidRPr="007E0A27" w:rsidRDefault="00B724FE" w:rsidP="00B724FE">
            <w:pPr>
              <w:keepNext/>
              <w:keepLines/>
              <w:rPr>
                <w:rFonts w:ascii="Arial" w:hAnsi="Arial" w:cs="Arial"/>
                <w:sz w:val="20"/>
                <w:szCs w:val="20"/>
              </w:rPr>
            </w:pPr>
            <w:r>
              <w:rPr>
                <w:rFonts w:ascii="Arial" w:hAnsi="Arial" w:cs="Arial"/>
                <w:sz w:val="20"/>
                <w:szCs w:val="20"/>
              </w:rPr>
              <w:t>10/6/2014</w:t>
            </w:r>
          </w:p>
        </w:tc>
        <w:tc>
          <w:tcPr>
            <w:tcW w:w="0" w:type="auto"/>
            <w:vAlign w:val="bottom"/>
          </w:tcPr>
          <w:p w14:paraId="203E609B" w14:textId="7E56D4B8" w:rsidR="00B724FE" w:rsidRPr="007E0A27"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140CDAE6" w14:textId="4B183340" w:rsidR="00B724FE" w:rsidRPr="00B724FE" w:rsidRDefault="00B724FE" w:rsidP="00B724FE">
            <w:pPr>
              <w:jc w:val="right"/>
              <w:rPr>
                <w:rFonts w:ascii="Arial" w:hAnsi="Arial" w:cs="Arial"/>
                <w:sz w:val="20"/>
                <w:szCs w:val="20"/>
              </w:rPr>
            </w:pPr>
            <w:r w:rsidRPr="00B724FE">
              <w:rPr>
                <w:rFonts w:ascii="Arial" w:hAnsi="Arial" w:cs="Arial"/>
                <w:sz w:val="20"/>
                <w:szCs w:val="20"/>
              </w:rPr>
              <w:t>130.3</w:t>
            </w:r>
          </w:p>
        </w:tc>
        <w:tc>
          <w:tcPr>
            <w:tcW w:w="0" w:type="auto"/>
          </w:tcPr>
          <w:p w14:paraId="4C36730F" w14:textId="7A72F35E" w:rsidR="00B724FE" w:rsidRPr="00B724FE" w:rsidRDefault="00B724FE" w:rsidP="00B724FE">
            <w:pPr>
              <w:jc w:val="right"/>
              <w:rPr>
                <w:rFonts w:ascii="Arial" w:hAnsi="Arial" w:cs="Arial"/>
                <w:sz w:val="20"/>
                <w:szCs w:val="20"/>
              </w:rPr>
            </w:pPr>
            <w:r w:rsidRPr="00B724FE">
              <w:rPr>
                <w:rFonts w:ascii="Arial" w:hAnsi="Arial" w:cs="Arial"/>
                <w:sz w:val="20"/>
                <w:szCs w:val="20"/>
              </w:rPr>
              <w:t>51.2</w:t>
            </w:r>
          </w:p>
        </w:tc>
        <w:tc>
          <w:tcPr>
            <w:tcW w:w="0" w:type="auto"/>
          </w:tcPr>
          <w:p w14:paraId="5FE8E78E" w14:textId="26EF442D" w:rsidR="00B724FE" w:rsidRPr="00B724FE" w:rsidRDefault="00B724FE" w:rsidP="00B724FE">
            <w:pPr>
              <w:jc w:val="right"/>
              <w:rPr>
                <w:rFonts w:ascii="Arial" w:hAnsi="Arial" w:cs="Arial"/>
                <w:sz w:val="20"/>
                <w:szCs w:val="20"/>
              </w:rPr>
            </w:pPr>
            <w:r w:rsidRPr="00B724FE">
              <w:rPr>
                <w:rFonts w:ascii="Arial" w:hAnsi="Arial" w:cs="Arial"/>
                <w:sz w:val="20"/>
                <w:szCs w:val="20"/>
              </w:rPr>
              <w:t>39.3%</w:t>
            </w:r>
          </w:p>
        </w:tc>
      </w:tr>
      <w:tr w:rsidR="00B724FE" w14:paraId="0531EF05" w14:textId="77777777" w:rsidTr="007933BB">
        <w:trPr>
          <w:jc w:val="center"/>
        </w:trPr>
        <w:tc>
          <w:tcPr>
            <w:tcW w:w="0" w:type="auto"/>
            <w:vMerge/>
            <w:vAlign w:val="center"/>
          </w:tcPr>
          <w:p w14:paraId="2327685F" w14:textId="77777777" w:rsidR="00B724FE" w:rsidRPr="007933BB" w:rsidRDefault="00B724FE" w:rsidP="00B724FE">
            <w:pPr>
              <w:keepNext/>
              <w:keepLines/>
              <w:jc w:val="center"/>
              <w:rPr>
                <w:rFonts w:ascii="Arial" w:hAnsi="Arial" w:cs="Arial"/>
                <w:b/>
                <w:sz w:val="20"/>
                <w:szCs w:val="20"/>
              </w:rPr>
            </w:pPr>
          </w:p>
        </w:tc>
        <w:tc>
          <w:tcPr>
            <w:tcW w:w="0" w:type="auto"/>
            <w:gridSpan w:val="3"/>
          </w:tcPr>
          <w:p w14:paraId="39DBD0B7" w14:textId="77777777" w:rsidR="00B724FE" w:rsidRPr="007933BB" w:rsidRDefault="00B724FE" w:rsidP="00B724FE">
            <w:pPr>
              <w:keepNext/>
              <w:keepLines/>
              <w:jc w:val="right"/>
              <w:rPr>
                <w:rFonts w:ascii="Arial" w:hAnsi="Arial" w:cs="Arial"/>
                <w:b/>
                <w:sz w:val="20"/>
                <w:szCs w:val="20"/>
              </w:rPr>
            </w:pPr>
            <w:r w:rsidRPr="007933BB">
              <w:rPr>
                <w:rFonts w:ascii="Arial" w:hAnsi="Arial" w:cs="Arial"/>
                <w:b/>
                <w:sz w:val="20"/>
                <w:szCs w:val="20"/>
              </w:rPr>
              <w:t>Average</w:t>
            </w:r>
          </w:p>
        </w:tc>
        <w:tc>
          <w:tcPr>
            <w:tcW w:w="0" w:type="auto"/>
          </w:tcPr>
          <w:p w14:paraId="40E2CBE8" w14:textId="58D07935" w:rsidR="00B724FE" w:rsidRPr="00B724FE" w:rsidRDefault="00B724FE" w:rsidP="00B724FE">
            <w:pPr>
              <w:jc w:val="right"/>
              <w:rPr>
                <w:rFonts w:ascii="Arial" w:hAnsi="Arial" w:cs="Arial"/>
                <w:b/>
                <w:sz w:val="20"/>
                <w:szCs w:val="20"/>
              </w:rPr>
            </w:pPr>
            <w:r w:rsidRPr="00B724FE">
              <w:rPr>
                <w:rFonts w:ascii="Arial" w:hAnsi="Arial" w:cs="Arial"/>
                <w:b/>
                <w:sz w:val="20"/>
                <w:szCs w:val="20"/>
              </w:rPr>
              <w:t>133.1</w:t>
            </w:r>
          </w:p>
        </w:tc>
        <w:tc>
          <w:tcPr>
            <w:tcW w:w="0" w:type="auto"/>
          </w:tcPr>
          <w:p w14:paraId="57B54B70" w14:textId="50C6DD50" w:rsidR="00B724FE" w:rsidRPr="00B724FE" w:rsidRDefault="00B724FE" w:rsidP="00B724FE">
            <w:pPr>
              <w:jc w:val="right"/>
              <w:rPr>
                <w:rFonts w:ascii="Arial" w:hAnsi="Arial" w:cs="Arial"/>
                <w:b/>
                <w:sz w:val="20"/>
                <w:szCs w:val="20"/>
              </w:rPr>
            </w:pPr>
            <w:r w:rsidRPr="00B724FE">
              <w:rPr>
                <w:rFonts w:ascii="Arial" w:hAnsi="Arial" w:cs="Arial"/>
                <w:b/>
                <w:sz w:val="20"/>
                <w:szCs w:val="20"/>
              </w:rPr>
              <w:t>106.7</w:t>
            </w:r>
          </w:p>
        </w:tc>
        <w:tc>
          <w:tcPr>
            <w:tcW w:w="0" w:type="auto"/>
          </w:tcPr>
          <w:p w14:paraId="611BDE74" w14:textId="782537F3" w:rsidR="00B724FE" w:rsidRPr="00B724FE" w:rsidRDefault="00B724FE" w:rsidP="00B724FE">
            <w:pPr>
              <w:jc w:val="right"/>
              <w:rPr>
                <w:rFonts w:ascii="Arial" w:hAnsi="Arial" w:cs="Arial"/>
                <w:b/>
                <w:sz w:val="20"/>
                <w:szCs w:val="20"/>
              </w:rPr>
            </w:pPr>
            <w:r w:rsidRPr="00B724FE">
              <w:rPr>
                <w:rFonts w:ascii="Arial" w:hAnsi="Arial" w:cs="Arial"/>
                <w:b/>
                <w:sz w:val="20"/>
                <w:szCs w:val="20"/>
              </w:rPr>
              <w:t>80.1%</w:t>
            </w:r>
          </w:p>
        </w:tc>
      </w:tr>
      <w:tr w:rsidR="00B724FE" w14:paraId="4D7CDC1A" w14:textId="77777777" w:rsidTr="00D21F53">
        <w:trPr>
          <w:jc w:val="center"/>
        </w:trPr>
        <w:tc>
          <w:tcPr>
            <w:tcW w:w="0" w:type="auto"/>
            <w:vMerge w:val="restart"/>
            <w:vAlign w:val="center"/>
          </w:tcPr>
          <w:p w14:paraId="67AB555A" w14:textId="77777777" w:rsidR="00B724FE" w:rsidRPr="007933BB" w:rsidRDefault="00B724FE" w:rsidP="00B724FE">
            <w:pPr>
              <w:keepNext/>
              <w:keepLines/>
              <w:jc w:val="center"/>
              <w:rPr>
                <w:rFonts w:ascii="Arial" w:hAnsi="Arial" w:cs="Arial"/>
                <w:b/>
                <w:sz w:val="20"/>
                <w:szCs w:val="20"/>
              </w:rPr>
            </w:pPr>
            <w:r w:rsidRPr="007933BB">
              <w:rPr>
                <w:rFonts w:ascii="Arial" w:hAnsi="Arial" w:cs="Arial"/>
                <w:b/>
                <w:sz w:val="20"/>
                <w:szCs w:val="20"/>
              </w:rPr>
              <w:t>Enrolled in DBP Only</w:t>
            </w:r>
          </w:p>
        </w:tc>
        <w:tc>
          <w:tcPr>
            <w:tcW w:w="0" w:type="auto"/>
          </w:tcPr>
          <w:p w14:paraId="32F642ED" w14:textId="7C4745CB" w:rsidR="00B724FE" w:rsidRPr="007E0A27" w:rsidRDefault="00B724FE" w:rsidP="00B724FE">
            <w:pPr>
              <w:keepNext/>
              <w:keepLines/>
              <w:jc w:val="center"/>
              <w:rPr>
                <w:rFonts w:ascii="Arial" w:hAnsi="Arial" w:cs="Arial"/>
                <w:sz w:val="20"/>
                <w:szCs w:val="20"/>
              </w:rPr>
            </w:pPr>
            <w:r w:rsidRPr="007E0A27">
              <w:rPr>
                <w:rFonts w:ascii="Arial" w:hAnsi="Arial" w:cs="Arial"/>
                <w:sz w:val="20"/>
                <w:szCs w:val="20"/>
              </w:rPr>
              <w:t>1</w:t>
            </w:r>
          </w:p>
        </w:tc>
        <w:tc>
          <w:tcPr>
            <w:tcW w:w="0" w:type="auto"/>
          </w:tcPr>
          <w:p w14:paraId="2C7240C9" w14:textId="1A3D96C0" w:rsidR="00B724FE" w:rsidRPr="007E0A27" w:rsidRDefault="00B724FE" w:rsidP="00B724FE">
            <w:pPr>
              <w:keepNext/>
              <w:keepLines/>
              <w:rPr>
                <w:rFonts w:ascii="Arial" w:hAnsi="Arial" w:cs="Arial"/>
                <w:sz w:val="20"/>
                <w:szCs w:val="20"/>
              </w:rPr>
            </w:pPr>
            <w:r>
              <w:rPr>
                <w:rFonts w:ascii="Arial" w:hAnsi="Arial" w:cs="Arial"/>
                <w:sz w:val="20"/>
                <w:szCs w:val="20"/>
              </w:rPr>
              <w:t>7/14/2014</w:t>
            </w:r>
          </w:p>
        </w:tc>
        <w:tc>
          <w:tcPr>
            <w:tcW w:w="0" w:type="auto"/>
            <w:vAlign w:val="bottom"/>
          </w:tcPr>
          <w:p w14:paraId="362C2BD2" w14:textId="213D2F51" w:rsidR="00B724FE" w:rsidRPr="007E0A27"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5799F818" w14:textId="02051903"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21.5</w:t>
            </w:r>
          </w:p>
        </w:tc>
        <w:tc>
          <w:tcPr>
            <w:tcW w:w="0" w:type="auto"/>
          </w:tcPr>
          <w:p w14:paraId="48CFA4A2" w14:textId="189D2983"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4.9</w:t>
            </w:r>
          </w:p>
        </w:tc>
        <w:tc>
          <w:tcPr>
            <w:tcW w:w="0" w:type="auto"/>
          </w:tcPr>
          <w:p w14:paraId="60EBB49D" w14:textId="604E3A84"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22.9%</w:t>
            </w:r>
          </w:p>
        </w:tc>
      </w:tr>
      <w:tr w:rsidR="00B724FE" w14:paraId="01FDDAC8" w14:textId="77777777" w:rsidTr="00D21F53">
        <w:trPr>
          <w:jc w:val="center"/>
        </w:trPr>
        <w:tc>
          <w:tcPr>
            <w:tcW w:w="0" w:type="auto"/>
            <w:vMerge/>
          </w:tcPr>
          <w:p w14:paraId="4A14AEF5" w14:textId="77777777" w:rsidR="00B724FE" w:rsidRDefault="00B724FE" w:rsidP="00B724FE">
            <w:pPr>
              <w:keepNext/>
              <w:keepLines/>
              <w:jc w:val="center"/>
              <w:rPr>
                <w:rFonts w:ascii="Arial" w:hAnsi="Arial" w:cs="Arial"/>
                <w:sz w:val="20"/>
                <w:szCs w:val="20"/>
              </w:rPr>
            </w:pPr>
          </w:p>
        </w:tc>
        <w:tc>
          <w:tcPr>
            <w:tcW w:w="0" w:type="auto"/>
          </w:tcPr>
          <w:p w14:paraId="1688BADB" w14:textId="7B25D886" w:rsidR="00B724FE" w:rsidRPr="007E0A27" w:rsidRDefault="00B724FE" w:rsidP="00B724FE">
            <w:pPr>
              <w:keepNext/>
              <w:keepLines/>
              <w:jc w:val="center"/>
              <w:rPr>
                <w:rFonts w:ascii="Arial" w:hAnsi="Arial" w:cs="Arial"/>
                <w:sz w:val="20"/>
                <w:szCs w:val="20"/>
              </w:rPr>
            </w:pPr>
            <w:r>
              <w:rPr>
                <w:rFonts w:ascii="Arial" w:hAnsi="Arial" w:cs="Arial"/>
                <w:sz w:val="20"/>
                <w:szCs w:val="20"/>
              </w:rPr>
              <w:t>2</w:t>
            </w:r>
          </w:p>
        </w:tc>
        <w:tc>
          <w:tcPr>
            <w:tcW w:w="0" w:type="auto"/>
          </w:tcPr>
          <w:p w14:paraId="167532D6" w14:textId="267F4144" w:rsidR="00B724FE" w:rsidRPr="007E0A27" w:rsidRDefault="00B724FE" w:rsidP="00B724FE">
            <w:pPr>
              <w:keepNext/>
              <w:keepLines/>
              <w:rPr>
                <w:rFonts w:ascii="Arial" w:hAnsi="Arial" w:cs="Arial"/>
                <w:sz w:val="20"/>
                <w:szCs w:val="20"/>
              </w:rPr>
            </w:pPr>
            <w:r>
              <w:rPr>
                <w:rFonts w:ascii="Arial" w:hAnsi="Arial" w:cs="Arial"/>
                <w:sz w:val="20"/>
                <w:szCs w:val="20"/>
              </w:rPr>
              <w:t>9/8/2014</w:t>
            </w:r>
          </w:p>
        </w:tc>
        <w:tc>
          <w:tcPr>
            <w:tcW w:w="0" w:type="auto"/>
            <w:vAlign w:val="bottom"/>
          </w:tcPr>
          <w:p w14:paraId="292BF5F7" w14:textId="04968E37" w:rsidR="00B724FE"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1687BD61" w14:textId="3427C613"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18.1</w:t>
            </w:r>
          </w:p>
        </w:tc>
        <w:tc>
          <w:tcPr>
            <w:tcW w:w="0" w:type="auto"/>
          </w:tcPr>
          <w:p w14:paraId="7078F200" w14:textId="74E6A4DC"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10.4</w:t>
            </w:r>
          </w:p>
        </w:tc>
        <w:tc>
          <w:tcPr>
            <w:tcW w:w="0" w:type="auto"/>
          </w:tcPr>
          <w:p w14:paraId="6AE8D9F1" w14:textId="4F4F8395"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57.5%</w:t>
            </w:r>
          </w:p>
        </w:tc>
      </w:tr>
      <w:tr w:rsidR="00B724FE" w14:paraId="654BC786" w14:textId="77777777" w:rsidTr="00D21F53">
        <w:trPr>
          <w:jc w:val="center"/>
        </w:trPr>
        <w:tc>
          <w:tcPr>
            <w:tcW w:w="0" w:type="auto"/>
            <w:vMerge/>
          </w:tcPr>
          <w:p w14:paraId="02BED140" w14:textId="77777777" w:rsidR="00B724FE" w:rsidRDefault="00B724FE" w:rsidP="00B724FE">
            <w:pPr>
              <w:keepNext/>
              <w:keepLines/>
              <w:jc w:val="center"/>
              <w:rPr>
                <w:rFonts w:ascii="Arial" w:hAnsi="Arial" w:cs="Arial"/>
                <w:sz w:val="20"/>
                <w:szCs w:val="20"/>
              </w:rPr>
            </w:pPr>
          </w:p>
        </w:tc>
        <w:tc>
          <w:tcPr>
            <w:tcW w:w="0" w:type="auto"/>
          </w:tcPr>
          <w:p w14:paraId="6D6E2644" w14:textId="3ECAF95A" w:rsidR="00B724FE" w:rsidRPr="007E0A27" w:rsidRDefault="00B724FE" w:rsidP="00B724FE">
            <w:pPr>
              <w:keepNext/>
              <w:keepLines/>
              <w:jc w:val="center"/>
              <w:rPr>
                <w:rFonts w:ascii="Arial" w:hAnsi="Arial" w:cs="Arial"/>
                <w:sz w:val="20"/>
                <w:szCs w:val="20"/>
              </w:rPr>
            </w:pPr>
            <w:r>
              <w:rPr>
                <w:rFonts w:ascii="Arial" w:hAnsi="Arial" w:cs="Arial"/>
                <w:sz w:val="20"/>
                <w:szCs w:val="20"/>
              </w:rPr>
              <w:t>3</w:t>
            </w:r>
          </w:p>
        </w:tc>
        <w:tc>
          <w:tcPr>
            <w:tcW w:w="0" w:type="auto"/>
          </w:tcPr>
          <w:p w14:paraId="35BF0160" w14:textId="49336941" w:rsidR="00B724FE" w:rsidRPr="007E0A27" w:rsidRDefault="00B724FE" w:rsidP="00B724FE">
            <w:pPr>
              <w:keepNext/>
              <w:keepLines/>
              <w:rPr>
                <w:rFonts w:ascii="Arial" w:hAnsi="Arial" w:cs="Arial"/>
                <w:sz w:val="20"/>
                <w:szCs w:val="20"/>
              </w:rPr>
            </w:pPr>
            <w:r>
              <w:rPr>
                <w:rFonts w:ascii="Arial" w:hAnsi="Arial" w:cs="Arial"/>
                <w:sz w:val="20"/>
                <w:szCs w:val="20"/>
              </w:rPr>
              <w:t>9/10/2014</w:t>
            </w:r>
          </w:p>
        </w:tc>
        <w:tc>
          <w:tcPr>
            <w:tcW w:w="0" w:type="auto"/>
            <w:vAlign w:val="bottom"/>
          </w:tcPr>
          <w:p w14:paraId="7BA489D3" w14:textId="115A82EB" w:rsidR="00B724FE" w:rsidRDefault="00B724FE" w:rsidP="00B724FE">
            <w:pPr>
              <w:keepNext/>
              <w:keepLines/>
              <w:rPr>
                <w:rFonts w:ascii="Arial" w:hAnsi="Arial" w:cs="Arial"/>
                <w:sz w:val="20"/>
                <w:szCs w:val="20"/>
              </w:rPr>
            </w:pPr>
            <w:r>
              <w:rPr>
                <w:rFonts w:ascii="Arial" w:hAnsi="Arial" w:cs="Arial"/>
                <w:sz w:val="20"/>
                <w:szCs w:val="20"/>
              </w:rPr>
              <w:t>Wednesday</w:t>
            </w:r>
          </w:p>
        </w:tc>
        <w:tc>
          <w:tcPr>
            <w:tcW w:w="0" w:type="auto"/>
          </w:tcPr>
          <w:p w14:paraId="72486E91" w14:textId="3877C81E"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17.0</w:t>
            </w:r>
          </w:p>
        </w:tc>
        <w:tc>
          <w:tcPr>
            <w:tcW w:w="0" w:type="auto"/>
          </w:tcPr>
          <w:p w14:paraId="5FC6A7E3" w14:textId="6644EA55"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1.6</w:t>
            </w:r>
          </w:p>
        </w:tc>
        <w:tc>
          <w:tcPr>
            <w:tcW w:w="0" w:type="auto"/>
          </w:tcPr>
          <w:p w14:paraId="63238901" w14:textId="7CDEAAFF"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9.2%</w:t>
            </w:r>
          </w:p>
        </w:tc>
      </w:tr>
      <w:tr w:rsidR="00B724FE" w14:paraId="5F697DEF" w14:textId="77777777" w:rsidTr="00D21F53">
        <w:trPr>
          <w:jc w:val="center"/>
        </w:trPr>
        <w:tc>
          <w:tcPr>
            <w:tcW w:w="0" w:type="auto"/>
            <w:vMerge/>
          </w:tcPr>
          <w:p w14:paraId="2732498E" w14:textId="77777777" w:rsidR="00B724FE" w:rsidRDefault="00B724FE" w:rsidP="00B724FE">
            <w:pPr>
              <w:keepNext/>
              <w:keepLines/>
              <w:jc w:val="center"/>
              <w:rPr>
                <w:rFonts w:ascii="Arial" w:hAnsi="Arial" w:cs="Arial"/>
                <w:sz w:val="20"/>
                <w:szCs w:val="20"/>
              </w:rPr>
            </w:pPr>
          </w:p>
        </w:tc>
        <w:tc>
          <w:tcPr>
            <w:tcW w:w="0" w:type="auto"/>
          </w:tcPr>
          <w:p w14:paraId="4F3C9950" w14:textId="0B9D0501" w:rsidR="00B724FE" w:rsidRPr="007E0A27" w:rsidRDefault="00B724FE" w:rsidP="00B724FE">
            <w:pPr>
              <w:keepNext/>
              <w:keepLines/>
              <w:jc w:val="center"/>
              <w:rPr>
                <w:rFonts w:ascii="Arial" w:hAnsi="Arial" w:cs="Arial"/>
                <w:sz w:val="20"/>
                <w:szCs w:val="20"/>
              </w:rPr>
            </w:pPr>
            <w:r>
              <w:rPr>
                <w:rFonts w:ascii="Arial" w:hAnsi="Arial" w:cs="Arial"/>
                <w:sz w:val="20"/>
                <w:szCs w:val="20"/>
              </w:rPr>
              <w:t>4</w:t>
            </w:r>
          </w:p>
        </w:tc>
        <w:tc>
          <w:tcPr>
            <w:tcW w:w="0" w:type="auto"/>
          </w:tcPr>
          <w:p w14:paraId="62D26BE6" w14:textId="1C1656A5" w:rsidR="00B724FE" w:rsidRPr="007E0A27" w:rsidRDefault="00B724FE" w:rsidP="00B724FE">
            <w:pPr>
              <w:keepNext/>
              <w:keepLines/>
              <w:rPr>
                <w:rFonts w:ascii="Arial" w:hAnsi="Arial" w:cs="Arial"/>
                <w:sz w:val="20"/>
                <w:szCs w:val="20"/>
              </w:rPr>
            </w:pPr>
            <w:r>
              <w:rPr>
                <w:rFonts w:ascii="Arial" w:hAnsi="Arial" w:cs="Arial"/>
                <w:sz w:val="20"/>
                <w:szCs w:val="20"/>
              </w:rPr>
              <w:t>9/15/2014</w:t>
            </w:r>
          </w:p>
        </w:tc>
        <w:tc>
          <w:tcPr>
            <w:tcW w:w="0" w:type="auto"/>
            <w:vAlign w:val="bottom"/>
          </w:tcPr>
          <w:p w14:paraId="3D824E97" w14:textId="3AFC38C5" w:rsidR="00B724FE"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4B0DD03F" w14:textId="0552FCF7"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17.7</w:t>
            </w:r>
          </w:p>
        </w:tc>
        <w:tc>
          <w:tcPr>
            <w:tcW w:w="0" w:type="auto"/>
          </w:tcPr>
          <w:p w14:paraId="6BFACF1C" w14:textId="5BBF3AD0"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4.6</w:t>
            </w:r>
          </w:p>
        </w:tc>
        <w:tc>
          <w:tcPr>
            <w:tcW w:w="0" w:type="auto"/>
          </w:tcPr>
          <w:p w14:paraId="0FE8574A" w14:textId="52402869"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26.2%</w:t>
            </w:r>
          </w:p>
        </w:tc>
      </w:tr>
      <w:tr w:rsidR="00B724FE" w14:paraId="54B2DD8B" w14:textId="77777777" w:rsidTr="00D21F53">
        <w:trPr>
          <w:jc w:val="center"/>
        </w:trPr>
        <w:tc>
          <w:tcPr>
            <w:tcW w:w="0" w:type="auto"/>
            <w:vMerge/>
          </w:tcPr>
          <w:p w14:paraId="634272B4" w14:textId="77777777" w:rsidR="00B724FE" w:rsidRDefault="00B724FE" w:rsidP="00B724FE">
            <w:pPr>
              <w:keepNext/>
              <w:keepLines/>
              <w:jc w:val="center"/>
              <w:rPr>
                <w:rFonts w:ascii="Arial" w:hAnsi="Arial" w:cs="Arial"/>
                <w:sz w:val="20"/>
                <w:szCs w:val="20"/>
              </w:rPr>
            </w:pPr>
          </w:p>
        </w:tc>
        <w:tc>
          <w:tcPr>
            <w:tcW w:w="0" w:type="auto"/>
          </w:tcPr>
          <w:p w14:paraId="073749F9" w14:textId="791A9E3A" w:rsidR="00B724FE" w:rsidRDefault="00B724FE" w:rsidP="00B724FE">
            <w:pPr>
              <w:keepNext/>
              <w:keepLines/>
              <w:jc w:val="center"/>
              <w:rPr>
                <w:rFonts w:ascii="Arial" w:hAnsi="Arial" w:cs="Arial"/>
                <w:sz w:val="20"/>
                <w:szCs w:val="20"/>
              </w:rPr>
            </w:pPr>
            <w:r>
              <w:rPr>
                <w:rFonts w:ascii="Arial" w:hAnsi="Arial" w:cs="Arial"/>
                <w:sz w:val="20"/>
                <w:szCs w:val="20"/>
              </w:rPr>
              <w:t>5</w:t>
            </w:r>
          </w:p>
        </w:tc>
        <w:tc>
          <w:tcPr>
            <w:tcW w:w="0" w:type="auto"/>
          </w:tcPr>
          <w:p w14:paraId="6F1D7C1E" w14:textId="0D350DE9" w:rsidR="00B724FE" w:rsidRDefault="00B724FE" w:rsidP="00B724FE">
            <w:pPr>
              <w:keepNext/>
              <w:keepLines/>
              <w:rPr>
                <w:rFonts w:ascii="Arial" w:hAnsi="Arial" w:cs="Arial"/>
                <w:sz w:val="20"/>
                <w:szCs w:val="20"/>
              </w:rPr>
            </w:pPr>
            <w:r>
              <w:rPr>
                <w:rFonts w:ascii="Arial" w:hAnsi="Arial" w:cs="Arial"/>
                <w:sz w:val="20"/>
                <w:szCs w:val="20"/>
              </w:rPr>
              <w:t>9/17/2014</w:t>
            </w:r>
          </w:p>
        </w:tc>
        <w:tc>
          <w:tcPr>
            <w:tcW w:w="0" w:type="auto"/>
            <w:vAlign w:val="bottom"/>
          </w:tcPr>
          <w:p w14:paraId="592F809C" w14:textId="47635A6B" w:rsidR="00B724FE" w:rsidRDefault="00B724FE" w:rsidP="00B724FE">
            <w:pPr>
              <w:keepNext/>
              <w:keepLines/>
              <w:rPr>
                <w:rFonts w:ascii="Arial" w:hAnsi="Arial" w:cs="Arial"/>
                <w:sz w:val="20"/>
                <w:szCs w:val="20"/>
              </w:rPr>
            </w:pPr>
            <w:r>
              <w:rPr>
                <w:rFonts w:ascii="Arial" w:hAnsi="Arial" w:cs="Arial"/>
                <w:sz w:val="20"/>
                <w:szCs w:val="20"/>
              </w:rPr>
              <w:t>Wednesday</w:t>
            </w:r>
          </w:p>
        </w:tc>
        <w:tc>
          <w:tcPr>
            <w:tcW w:w="0" w:type="auto"/>
          </w:tcPr>
          <w:p w14:paraId="0E65C84D" w14:textId="025B1EBD" w:rsidR="00B724FE" w:rsidRPr="00B724FE" w:rsidRDefault="00B724FE" w:rsidP="00B724FE">
            <w:pPr>
              <w:jc w:val="right"/>
              <w:rPr>
                <w:rFonts w:ascii="Arial" w:hAnsi="Arial" w:cs="Arial"/>
                <w:sz w:val="20"/>
                <w:szCs w:val="20"/>
              </w:rPr>
            </w:pPr>
            <w:r w:rsidRPr="00B724FE">
              <w:rPr>
                <w:rFonts w:ascii="Arial" w:hAnsi="Arial" w:cs="Arial"/>
                <w:sz w:val="20"/>
                <w:szCs w:val="20"/>
              </w:rPr>
              <w:t>17.4</w:t>
            </w:r>
          </w:p>
        </w:tc>
        <w:tc>
          <w:tcPr>
            <w:tcW w:w="0" w:type="auto"/>
          </w:tcPr>
          <w:p w14:paraId="71C1ED77" w14:textId="7CB6DCEC" w:rsidR="00B724FE" w:rsidRPr="00B724FE" w:rsidRDefault="00B724FE" w:rsidP="00B724FE">
            <w:pPr>
              <w:jc w:val="right"/>
              <w:rPr>
                <w:rFonts w:ascii="Arial" w:hAnsi="Arial" w:cs="Arial"/>
                <w:sz w:val="20"/>
                <w:szCs w:val="20"/>
              </w:rPr>
            </w:pPr>
            <w:r w:rsidRPr="00B724FE">
              <w:rPr>
                <w:rFonts w:ascii="Arial" w:hAnsi="Arial" w:cs="Arial"/>
                <w:sz w:val="20"/>
                <w:szCs w:val="20"/>
              </w:rPr>
              <w:t>7.6</w:t>
            </w:r>
          </w:p>
        </w:tc>
        <w:tc>
          <w:tcPr>
            <w:tcW w:w="0" w:type="auto"/>
          </w:tcPr>
          <w:p w14:paraId="37BFD09D" w14:textId="0E4646A5" w:rsidR="00B724FE" w:rsidRPr="00B724FE" w:rsidRDefault="00B724FE" w:rsidP="00B724FE">
            <w:pPr>
              <w:jc w:val="right"/>
              <w:rPr>
                <w:rFonts w:ascii="Arial" w:hAnsi="Arial" w:cs="Arial"/>
                <w:sz w:val="20"/>
                <w:szCs w:val="20"/>
              </w:rPr>
            </w:pPr>
            <w:r w:rsidRPr="00B724FE">
              <w:rPr>
                <w:rFonts w:ascii="Arial" w:hAnsi="Arial" w:cs="Arial"/>
                <w:sz w:val="20"/>
                <w:szCs w:val="20"/>
              </w:rPr>
              <w:t>43.6%</w:t>
            </w:r>
          </w:p>
        </w:tc>
      </w:tr>
      <w:tr w:rsidR="00B724FE" w14:paraId="3FC3FB0F" w14:textId="77777777" w:rsidTr="00D21F53">
        <w:trPr>
          <w:jc w:val="center"/>
        </w:trPr>
        <w:tc>
          <w:tcPr>
            <w:tcW w:w="0" w:type="auto"/>
            <w:vMerge/>
          </w:tcPr>
          <w:p w14:paraId="446AA7CC" w14:textId="77777777" w:rsidR="00B724FE" w:rsidRDefault="00B724FE" w:rsidP="00B724FE">
            <w:pPr>
              <w:keepNext/>
              <w:keepLines/>
              <w:jc w:val="center"/>
              <w:rPr>
                <w:rFonts w:ascii="Arial" w:hAnsi="Arial" w:cs="Arial"/>
                <w:sz w:val="20"/>
                <w:szCs w:val="20"/>
              </w:rPr>
            </w:pPr>
          </w:p>
        </w:tc>
        <w:tc>
          <w:tcPr>
            <w:tcW w:w="0" w:type="auto"/>
          </w:tcPr>
          <w:p w14:paraId="4AB4118E" w14:textId="49908C3E" w:rsidR="00B724FE" w:rsidRDefault="00B724FE" w:rsidP="00B724FE">
            <w:pPr>
              <w:keepNext/>
              <w:keepLines/>
              <w:jc w:val="center"/>
              <w:rPr>
                <w:rFonts w:ascii="Arial" w:hAnsi="Arial" w:cs="Arial"/>
                <w:sz w:val="20"/>
                <w:szCs w:val="20"/>
              </w:rPr>
            </w:pPr>
            <w:r>
              <w:rPr>
                <w:rFonts w:ascii="Arial" w:hAnsi="Arial" w:cs="Arial"/>
                <w:sz w:val="20"/>
                <w:szCs w:val="20"/>
              </w:rPr>
              <w:t>6</w:t>
            </w:r>
          </w:p>
        </w:tc>
        <w:tc>
          <w:tcPr>
            <w:tcW w:w="0" w:type="auto"/>
          </w:tcPr>
          <w:p w14:paraId="79124342" w14:textId="49610A67" w:rsidR="00B724FE" w:rsidRDefault="00B724FE" w:rsidP="00B724FE">
            <w:pPr>
              <w:keepNext/>
              <w:keepLines/>
              <w:rPr>
                <w:rFonts w:ascii="Arial" w:hAnsi="Arial" w:cs="Arial"/>
                <w:sz w:val="20"/>
                <w:szCs w:val="20"/>
              </w:rPr>
            </w:pPr>
            <w:r>
              <w:rPr>
                <w:rFonts w:ascii="Arial" w:hAnsi="Arial" w:cs="Arial"/>
                <w:sz w:val="20"/>
                <w:szCs w:val="20"/>
              </w:rPr>
              <w:t>10/2/2014</w:t>
            </w:r>
          </w:p>
        </w:tc>
        <w:tc>
          <w:tcPr>
            <w:tcW w:w="0" w:type="auto"/>
            <w:vAlign w:val="bottom"/>
          </w:tcPr>
          <w:p w14:paraId="4CAB308A" w14:textId="2AD8F021" w:rsidR="00B724FE" w:rsidRDefault="00B724FE" w:rsidP="00B724FE">
            <w:pPr>
              <w:keepNext/>
              <w:keepLines/>
              <w:rPr>
                <w:rFonts w:ascii="Arial" w:hAnsi="Arial" w:cs="Arial"/>
                <w:sz w:val="20"/>
                <w:szCs w:val="20"/>
              </w:rPr>
            </w:pPr>
            <w:r>
              <w:rPr>
                <w:rFonts w:ascii="Arial" w:hAnsi="Arial" w:cs="Arial"/>
                <w:sz w:val="20"/>
                <w:szCs w:val="20"/>
              </w:rPr>
              <w:t>Thursday</w:t>
            </w:r>
          </w:p>
        </w:tc>
        <w:tc>
          <w:tcPr>
            <w:tcW w:w="0" w:type="auto"/>
          </w:tcPr>
          <w:p w14:paraId="5E71F7D2" w14:textId="3910EA8E" w:rsidR="00B724FE" w:rsidRPr="00B724FE" w:rsidRDefault="00B724FE" w:rsidP="00B724FE">
            <w:pPr>
              <w:jc w:val="right"/>
              <w:rPr>
                <w:rFonts w:ascii="Arial" w:hAnsi="Arial" w:cs="Arial"/>
                <w:sz w:val="20"/>
                <w:szCs w:val="20"/>
              </w:rPr>
            </w:pPr>
            <w:r w:rsidRPr="00B724FE">
              <w:rPr>
                <w:rFonts w:ascii="Arial" w:hAnsi="Arial" w:cs="Arial"/>
                <w:sz w:val="20"/>
                <w:szCs w:val="20"/>
              </w:rPr>
              <w:t>17.1</w:t>
            </w:r>
          </w:p>
        </w:tc>
        <w:tc>
          <w:tcPr>
            <w:tcW w:w="0" w:type="auto"/>
          </w:tcPr>
          <w:p w14:paraId="553D1D63" w14:textId="59030F6B" w:rsidR="00B724FE" w:rsidRPr="00B724FE" w:rsidRDefault="00B724FE" w:rsidP="00B724FE">
            <w:pPr>
              <w:jc w:val="right"/>
              <w:rPr>
                <w:rFonts w:ascii="Arial" w:hAnsi="Arial" w:cs="Arial"/>
                <w:sz w:val="20"/>
                <w:szCs w:val="20"/>
              </w:rPr>
            </w:pPr>
            <w:r w:rsidRPr="00B724FE">
              <w:rPr>
                <w:rFonts w:ascii="Arial" w:hAnsi="Arial" w:cs="Arial"/>
                <w:sz w:val="20"/>
                <w:szCs w:val="20"/>
              </w:rPr>
              <w:t>5.7</w:t>
            </w:r>
          </w:p>
        </w:tc>
        <w:tc>
          <w:tcPr>
            <w:tcW w:w="0" w:type="auto"/>
          </w:tcPr>
          <w:p w14:paraId="249D4099" w14:textId="657360CC" w:rsidR="00B724FE" w:rsidRPr="00B724FE" w:rsidRDefault="00B724FE" w:rsidP="00B724FE">
            <w:pPr>
              <w:jc w:val="right"/>
              <w:rPr>
                <w:rFonts w:ascii="Arial" w:hAnsi="Arial" w:cs="Arial"/>
                <w:sz w:val="20"/>
                <w:szCs w:val="20"/>
              </w:rPr>
            </w:pPr>
            <w:r w:rsidRPr="00B724FE">
              <w:rPr>
                <w:rFonts w:ascii="Arial" w:hAnsi="Arial" w:cs="Arial"/>
                <w:sz w:val="20"/>
                <w:szCs w:val="20"/>
              </w:rPr>
              <w:t>33.5%</w:t>
            </w:r>
          </w:p>
        </w:tc>
      </w:tr>
      <w:tr w:rsidR="00B724FE" w14:paraId="3D41D3E1" w14:textId="77777777" w:rsidTr="00D21F53">
        <w:trPr>
          <w:jc w:val="center"/>
        </w:trPr>
        <w:tc>
          <w:tcPr>
            <w:tcW w:w="0" w:type="auto"/>
            <w:vMerge/>
          </w:tcPr>
          <w:p w14:paraId="6D1121AC" w14:textId="77777777" w:rsidR="00B724FE" w:rsidRDefault="00B724FE" w:rsidP="00B724FE">
            <w:pPr>
              <w:keepNext/>
              <w:keepLines/>
              <w:jc w:val="center"/>
              <w:rPr>
                <w:rFonts w:ascii="Arial" w:hAnsi="Arial" w:cs="Arial"/>
                <w:sz w:val="20"/>
                <w:szCs w:val="20"/>
              </w:rPr>
            </w:pPr>
          </w:p>
        </w:tc>
        <w:tc>
          <w:tcPr>
            <w:tcW w:w="0" w:type="auto"/>
          </w:tcPr>
          <w:p w14:paraId="4545BA3F" w14:textId="6FF3E096" w:rsidR="00B724FE" w:rsidRPr="007E0A27" w:rsidRDefault="00B724FE" w:rsidP="00B724FE">
            <w:pPr>
              <w:keepNext/>
              <w:keepLines/>
              <w:jc w:val="center"/>
              <w:rPr>
                <w:rFonts w:ascii="Arial" w:hAnsi="Arial" w:cs="Arial"/>
                <w:sz w:val="20"/>
                <w:szCs w:val="20"/>
              </w:rPr>
            </w:pPr>
            <w:r>
              <w:rPr>
                <w:rFonts w:ascii="Arial" w:hAnsi="Arial" w:cs="Arial"/>
                <w:sz w:val="20"/>
                <w:szCs w:val="20"/>
              </w:rPr>
              <w:t>7</w:t>
            </w:r>
          </w:p>
        </w:tc>
        <w:tc>
          <w:tcPr>
            <w:tcW w:w="0" w:type="auto"/>
          </w:tcPr>
          <w:p w14:paraId="1F06D8FB" w14:textId="4A2A9CA4" w:rsidR="00B724FE" w:rsidRPr="007E0A27" w:rsidRDefault="00B724FE" w:rsidP="00B724FE">
            <w:pPr>
              <w:keepNext/>
              <w:keepLines/>
              <w:rPr>
                <w:rFonts w:ascii="Arial" w:hAnsi="Arial" w:cs="Arial"/>
                <w:sz w:val="20"/>
                <w:szCs w:val="20"/>
              </w:rPr>
            </w:pPr>
            <w:r>
              <w:rPr>
                <w:rFonts w:ascii="Arial" w:hAnsi="Arial" w:cs="Arial"/>
                <w:sz w:val="20"/>
                <w:szCs w:val="20"/>
              </w:rPr>
              <w:t>10/6/2014</w:t>
            </w:r>
          </w:p>
        </w:tc>
        <w:tc>
          <w:tcPr>
            <w:tcW w:w="0" w:type="auto"/>
            <w:vAlign w:val="bottom"/>
          </w:tcPr>
          <w:p w14:paraId="64BEE3B5" w14:textId="19FFB57F" w:rsidR="00B724FE" w:rsidRPr="007E0A27" w:rsidRDefault="00B724FE" w:rsidP="00B724FE">
            <w:pPr>
              <w:keepNext/>
              <w:keepLines/>
              <w:rPr>
                <w:rFonts w:ascii="Arial" w:hAnsi="Arial" w:cs="Arial"/>
                <w:sz w:val="20"/>
                <w:szCs w:val="20"/>
              </w:rPr>
            </w:pPr>
            <w:r>
              <w:rPr>
                <w:rFonts w:ascii="Arial" w:hAnsi="Arial" w:cs="Arial"/>
                <w:sz w:val="20"/>
                <w:szCs w:val="20"/>
              </w:rPr>
              <w:t>Monday</w:t>
            </w:r>
          </w:p>
        </w:tc>
        <w:tc>
          <w:tcPr>
            <w:tcW w:w="0" w:type="auto"/>
          </w:tcPr>
          <w:p w14:paraId="0A327E62" w14:textId="165565A7"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17.1</w:t>
            </w:r>
          </w:p>
        </w:tc>
        <w:tc>
          <w:tcPr>
            <w:tcW w:w="0" w:type="auto"/>
          </w:tcPr>
          <w:p w14:paraId="4E273118" w14:textId="65296E97"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2.0</w:t>
            </w:r>
          </w:p>
        </w:tc>
        <w:tc>
          <w:tcPr>
            <w:tcW w:w="0" w:type="auto"/>
          </w:tcPr>
          <w:p w14:paraId="50934819" w14:textId="0184762B" w:rsidR="00B724FE" w:rsidRPr="00B724FE" w:rsidRDefault="00B724FE" w:rsidP="00B724FE">
            <w:pPr>
              <w:jc w:val="right"/>
              <w:rPr>
                <w:rFonts w:ascii="Arial" w:hAnsi="Arial" w:cs="Arial"/>
                <w:color w:val="000000"/>
                <w:sz w:val="20"/>
                <w:szCs w:val="20"/>
              </w:rPr>
            </w:pPr>
            <w:r w:rsidRPr="00B724FE">
              <w:rPr>
                <w:rFonts w:ascii="Arial" w:hAnsi="Arial" w:cs="Arial"/>
                <w:sz w:val="20"/>
                <w:szCs w:val="20"/>
              </w:rPr>
              <w:t>11.5%</w:t>
            </w:r>
          </w:p>
        </w:tc>
      </w:tr>
      <w:tr w:rsidR="00B724FE" w14:paraId="03D45296" w14:textId="77777777" w:rsidTr="00D21F53">
        <w:trPr>
          <w:jc w:val="center"/>
        </w:trPr>
        <w:tc>
          <w:tcPr>
            <w:tcW w:w="0" w:type="auto"/>
            <w:vMerge/>
          </w:tcPr>
          <w:p w14:paraId="216A2EB0" w14:textId="77777777" w:rsidR="00B724FE" w:rsidRDefault="00B724FE" w:rsidP="00B724FE">
            <w:pPr>
              <w:keepNext/>
              <w:keepLines/>
              <w:jc w:val="center"/>
              <w:rPr>
                <w:rFonts w:ascii="Arial" w:hAnsi="Arial" w:cs="Arial"/>
                <w:sz w:val="20"/>
                <w:szCs w:val="20"/>
              </w:rPr>
            </w:pPr>
          </w:p>
        </w:tc>
        <w:tc>
          <w:tcPr>
            <w:tcW w:w="0" w:type="auto"/>
            <w:gridSpan w:val="3"/>
          </w:tcPr>
          <w:p w14:paraId="018DE883" w14:textId="77777777" w:rsidR="00B724FE" w:rsidRPr="007933BB" w:rsidRDefault="00B724FE" w:rsidP="00B724FE">
            <w:pPr>
              <w:keepNext/>
              <w:keepLines/>
              <w:jc w:val="right"/>
              <w:rPr>
                <w:rFonts w:ascii="Arial" w:hAnsi="Arial" w:cs="Arial"/>
                <w:b/>
                <w:sz w:val="20"/>
                <w:szCs w:val="20"/>
              </w:rPr>
            </w:pPr>
            <w:r w:rsidRPr="007933BB">
              <w:rPr>
                <w:rFonts w:ascii="Arial" w:hAnsi="Arial" w:cs="Arial"/>
                <w:b/>
                <w:sz w:val="20"/>
                <w:szCs w:val="20"/>
              </w:rPr>
              <w:t>Average</w:t>
            </w:r>
          </w:p>
        </w:tc>
        <w:tc>
          <w:tcPr>
            <w:tcW w:w="0" w:type="auto"/>
          </w:tcPr>
          <w:p w14:paraId="3C1DA383" w14:textId="52B95610" w:rsidR="00B724FE" w:rsidRPr="00B724FE" w:rsidRDefault="00B724FE" w:rsidP="00B724FE">
            <w:pPr>
              <w:jc w:val="right"/>
              <w:rPr>
                <w:rFonts w:ascii="Arial" w:hAnsi="Arial" w:cs="Arial"/>
                <w:b/>
                <w:color w:val="000000"/>
                <w:sz w:val="20"/>
                <w:szCs w:val="20"/>
              </w:rPr>
            </w:pPr>
            <w:r w:rsidRPr="00B724FE">
              <w:rPr>
                <w:rFonts w:ascii="Arial" w:hAnsi="Arial" w:cs="Arial"/>
                <w:b/>
                <w:sz w:val="20"/>
                <w:szCs w:val="20"/>
              </w:rPr>
              <w:t>18.0</w:t>
            </w:r>
          </w:p>
        </w:tc>
        <w:tc>
          <w:tcPr>
            <w:tcW w:w="0" w:type="auto"/>
          </w:tcPr>
          <w:p w14:paraId="58169BBA" w14:textId="2B2786CB" w:rsidR="00B724FE" w:rsidRPr="00B724FE" w:rsidRDefault="00B724FE" w:rsidP="00B724FE">
            <w:pPr>
              <w:jc w:val="right"/>
              <w:rPr>
                <w:rFonts w:ascii="Arial" w:hAnsi="Arial" w:cs="Arial"/>
                <w:b/>
                <w:color w:val="000000"/>
                <w:sz w:val="20"/>
                <w:szCs w:val="20"/>
              </w:rPr>
            </w:pPr>
            <w:r w:rsidRPr="00B724FE">
              <w:rPr>
                <w:rFonts w:ascii="Arial" w:hAnsi="Arial" w:cs="Arial"/>
                <w:b/>
                <w:sz w:val="20"/>
                <w:szCs w:val="20"/>
              </w:rPr>
              <w:t>5.3</w:t>
            </w:r>
          </w:p>
        </w:tc>
        <w:tc>
          <w:tcPr>
            <w:tcW w:w="0" w:type="auto"/>
          </w:tcPr>
          <w:p w14:paraId="76610A48" w14:textId="266AF190" w:rsidR="00B724FE" w:rsidRPr="00B724FE" w:rsidRDefault="00B724FE" w:rsidP="00B724FE">
            <w:pPr>
              <w:jc w:val="right"/>
              <w:rPr>
                <w:rFonts w:ascii="Arial" w:hAnsi="Arial" w:cs="Arial"/>
                <w:b/>
                <w:color w:val="000000"/>
                <w:sz w:val="20"/>
                <w:szCs w:val="20"/>
              </w:rPr>
            </w:pPr>
            <w:r w:rsidRPr="00B724FE">
              <w:rPr>
                <w:rFonts w:ascii="Arial" w:hAnsi="Arial" w:cs="Arial"/>
                <w:b/>
                <w:sz w:val="20"/>
                <w:szCs w:val="20"/>
              </w:rPr>
              <w:t>29.3%</w:t>
            </w:r>
          </w:p>
        </w:tc>
      </w:tr>
    </w:tbl>
    <w:p w14:paraId="037103A9" w14:textId="77777777" w:rsidR="00321E09" w:rsidRDefault="00321E09" w:rsidP="00DF6FCB"/>
    <w:p w14:paraId="21A62298" w14:textId="3628946F" w:rsidR="00321E09" w:rsidRDefault="00321E09" w:rsidP="00C70F01">
      <w:r>
        <w:t>Tables 4.</w:t>
      </w:r>
      <w:r w:rsidR="00B3661A">
        <w:t>8</w:t>
      </w:r>
      <w:r>
        <w:t xml:space="preserve"> and 4.</w:t>
      </w:r>
      <w:r w:rsidR="00B3661A">
        <w:t>9</w:t>
      </w:r>
      <w:r>
        <w:t xml:space="preserve"> summarize average hourly load impacts for the average event by industry group and LCA.</w:t>
      </w:r>
      <w:r w:rsidR="008A6AC6">
        <w:t xml:space="preserve"> </w:t>
      </w:r>
      <w:r w:rsidR="007C3DF5">
        <w:t xml:space="preserve">Table 4.9 includes additional rows of data that summarize the load impacts for </w:t>
      </w:r>
      <w:smartTag w:uri="urn:schemas-microsoft-com:office:smarttags" w:element="place">
        <w:smartTag w:uri="urn:schemas-microsoft-com:office:smarttags" w:element="PlaceName">
          <w:r w:rsidR="007C3DF5">
            <w:t>South Orange</w:t>
          </w:r>
        </w:smartTag>
        <w:r w:rsidR="007C3DF5">
          <w:t xml:space="preserve"> </w:t>
        </w:r>
        <w:smartTag w:uri="urn:schemas-microsoft-com:office:smarttags" w:element="PlaceType">
          <w:r w:rsidR="007C3DF5">
            <w:t>County</w:t>
          </w:r>
        </w:smartTag>
      </w:smartTag>
      <w:r w:rsidR="007C3DF5">
        <w:t xml:space="preserve"> and South of Lugo. </w:t>
      </w:r>
      <w:r w:rsidRPr="00BE04B2">
        <w:t>Manufacturing service accounts accounted for the largest share of the load impacts</w:t>
      </w:r>
      <w:r w:rsidRPr="002D39E4">
        <w:t>.</w:t>
      </w:r>
      <w:r>
        <w:t xml:space="preserve"> By region, the highest share of the average load impact came from the LA Basin. </w:t>
      </w:r>
      <w:r w:rsidR="00BC6BCA">
        <w:t xml:space="preserve">Note that some </w:t>
      </w:r>
      <w:r w:rsidR="00BC6BCA" w:rsidRPr="00C749DA">
        <w:t>results have been removed due to confidentiality concerns.</w:t>
      </w:r>
    </w:p>
    <w:p w14:paraId="7D89DD88" w14:textId="77777777" w:rsidR="00670145" w:rsidRDefault="00670145" w:rsidP="00C70F01"/>
    <w:p w14:paraId="2D04B314" w14:textId="633E4818" w:rsidR="00321E09" w:rsidRPr="00852320" w:rsidRDefault="00321E09" w:rsidP="006C0BBF">
      <w:pPr>
        <w:pStyle w:val="TableCaption"/>
        <w:keepNext/>
        <w:keepLines/>
      </w:pPr>
      <w:bookmarkStart w:id="115" w:name="_Toc415761881"/>
      <w:r w:rsidRPr="00852320">
        <w:t xml:space="preserve">Table </w:t>
      </w:r>
      <w:r w:rsidR="006C0BBF" w:rsidRPr="00852320">
        <w:t>4.8</w:t>
      </w:r>
      <w:r w:rsidRPr="00852320">
        <w:t xml:space="preserve">: Average </w:t>
      </w:r>
      <w:r w:rsidR="00742A4F">
        <w:t>Event-</w:t>
      </w:r>
      <w:r w:rsidRPr="00852320">
        <w:t xml:space="preserve">Hour Load Impacts – SCE DBP, </w:t>
      </w:r>
      <w:r w:rsidRPr="00852320">
        <w:rPr>
          <w:i/>
        </w:rPr>
        <w:t>by Industry Group</w:t>
      </w:r>
      <w:bookmarkEnd w:id="1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1334"/>
        <w:gridCol w:w="1549"/>
        <w:gridCol w:w="1327"/>
        <w:gridCol w:w="1586"/>
        <w:gridCol w:w="828"/>
      </w:tblGrid>
      <w:tr w:rsidR="00321E09" w14:paraId="67E68475" w14:textId="77777777" w:rsidTr="0005199B">
        <w:trPr>
          <w:jc w:val="center"/>
        </w:trPr>
        <w:tc>
          <w:tcPr>
            <w:tcW w:w="0" w:type="auto"/>
            <w:shd w:val="clear" w:color="auto" w:fill="D9E2F3"/>
            <w:vAlign w:val="center"/>
          </w:tcPr>
          <w:p w14:paraId="2856C5BB" w14:textId="77777777" w:rsidR="00321E09" w:rsidRPr="007E0A27" w:rsidRDefault="00321E09" w:rsidP="006C0BBF">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shd w:val="clear" w:color="auto" w:fill="D9E2F3"/>
            <w:vAlign w:val="center"/>
          </w:tcPr>
          <w:p w14:paraId="23EC6B01" w14:textId="77777777" w:rsidR="00321E09" w:rsidRPr="007E0A27" w:rsidRDefault="00690746" w:rsidP="006C0BBF">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3FD1D78F" w14:textId="77777777" w:rsidR="00321E09" w:rsidRPr="007E0A27" w:rsidRDefault="00321E09" w:rsidP="006C0BBF">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70476CC0" w14:textId="77777777" w:rsidR="00321E09" w:rsidRPr="007E0A27" w:rsidRDefault="00321E09" w:rsidP="006C0BBF">
            <w:pPr>
              <w:keepNext/>
              <w:keepLines/>
              <w:jc w:val="center"/>
              <w:rPr>
                <w:rFonts w:ascii="Arial" w:hAnsi="Arial" w:cs="Arial"/>
                <w:b/>
                <w:sz w:val="20"/>
                <w:szCs w:val="20"/>
              </w:rPr>
            </w:pPr>
            <w:r w:rsidRPr="007E0A27">
              <w:rPr>
                <w:rFonts w:ascii="Arial" w:hAnsi="Arial" w:cs="Arial"/>
                <w:b/>
                <w:sz w:val="20"/>
                <w:szCs w:val="20"/>
              </w:rPr>
              <w:t>Observed Load (MW)</w:t>
            </w:r>
          </w:p>
        </w:tc>
        <w:tc>
          <w:tcPr>
            <w:tcW w:w="1586" w:type="dxa"/>
            <w:shd w:val="clear" w:color="auto" w:fill="D9E2F3"/>
            <w:vAlign w:val="center"/>
          </w:tcPr>
          <w:p w14:paraId="7F23FFDA" w14:textId="77777777" w:rsidR="00321E09" w:rsidRPr="007E0A27" w:rsidRDefault="00321E09" w:rsidP="006C0BBF">
            <w:pPr>
              <w:keepNext/>
              <w:keepLines/>
              <w:jc w:val="center"/>
              <w:rPr>
                <w:rFonts w:ascii="Arial" w:hAnsi="Arial" w:cs="Arial"/>
                <w:b/>
                <w:sz w:val="20"/>
                <w:szCs w:val="20"/>
              </w:rPr>
            </w:pPr>
            <w:r w:rsidRPr="007E0A27">
              <w:rPr>
                <w:rFonts w:ascii="Arial" w:hAnsi="Arial" w:cs="Arial"/>
                <w:b/>
                <w:sz w:val="20"/>
                <w:szCs w:val="20"/>
              </w:rPr>
              <w:t>Estimated Load Impact (MW)</w:t>
            </w:r>
          </w:p>
        </w:tc>
        <w:tc>
          <w:tcPr>
            <w:tcW w:w="828" w:type="dxa"/>
            <w:shd w:val="clear" w:color="auto" w:fill="D9E2F3"/>
            <w:vAlign w:val="center"/>
          </w:tcPr>
          <w:p w14:paraId="231B4303" w14:textId="77777777" w:rsidR="00321E09" w:rsidRPr="007E0A27" w:rsidRDefault="00321E09" w:rsidP="006C0BBF">
            <w:pPr>
              <w:keepNext/>
              <w:keepLines/>
              <w:jc w:val="center"/>
              <w:rPr>
                <w:rFonts w:ascii="Arial" w:hAnsi="Arial" w:cs="Arial"/>
                <w:b/>
                <w:sz w:val="20"/>
                <w:szCs w:val="20"/>
              </w:rPr>
            </w:pPr>
            <w:r w:rsidRPr="007E0A27">
              <w:rPr>
                <w:rFonts w:ascii="Arial" w:hAnsi="Arial" w:cs="Arial"/>
                <w:b/>
                <w:sz w:val="20"/>
                <w:szCs w:val="20"/>
              </w:rPr>
              <w:t>% LI</w:t>
            </w:r>
          </w:p>
        </w:tc>
      </w:tr>
      <w:tr w:rsidR="006A2B44" w14:paraId="7BBA5E39" w14:textId="77777777" w:rsidTr="006A2B44">
        <w:trPr>
          <w:jc w:val="center"/>
        </w:trPr>
        <w:tc>
          <w:tcPr>
            <w:tcW w:w="0" w:type="auto"/>
            <w:vAlign w:val="center"/>
          </w:tcPr>
          <w:p w14:paraId="11746974"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39FE3EAA" w14:textId="60E6CE66" w:rsidR="006A2B44" w:rsidRPr="006A2B44" w:rsidRDefault="006A2B44" w:rsidP="006A2B44">
            <w:pPr>
              <w:jc w:val="right"/>
              <w:rPr>
                <w:rFonts w:ascii="Arial" w:hAnsi="Arial" w:cs="Arial"/>
                <w:sz w:val="20"/>
                <w:szCs w:val="20"/>
              </w:rPr>
            </w:pPr>
          </w:p>
        </w:tc>
        <w:tc>
          <w:tcPr>
            <w:tcW w:w="0" w:type="auto"/>
            <w:vAlign w:val="center"/>
          </w:tcPr>
          <w:p w14:paraId="69B6CA16" w14:textId="5F4E7B8E" w:rsidR="006A2B44" w:rsidRPr="006A2B44" w:rsidRDefault="006A2B44" w:rsidP="006A2B44">
            <w:pPr>
              <w:jc w:val="right"/>
              <w:rPr>
                <w:rFonts w:ascii="Arial" w:hAnsi="Arial" w:cs="Arial"/>
                <w:sz w:val="20"/>
                <w:szCs w:val="20"/>
              </w:rPr>
            </w:pPr>
          </w:p>
        </w:tc>
        <w:tc>
          <w:tcPr>
            <w:tcW w:w="0" w:type="auto"/>
            <w:vAlign w:val="center"/>
          </w:tcPr>
          <w:p w14:paraId="24738F07" w14:textId="35B0EBAF" w:rsidR="006A2B44" w:rsidRPr="006A2B44" w:rsidRDefault="006A2B44" w:rsidP="006A2B44">
            <w:pPr>
              <w:jc w:val="right"/>
              <w:rPr>
                <w:rFonts w:ascii="Arial" w:hAnsi="Arial" w:cs="Arial"/>
                <w:sz w:val="20"/>
                <w:szCs w:val="20"/>
              </w:rPr>
            </w:pPr>
          </w:p>
        </w:tc>
        <w:tc>
          <w:tcPr>
            <w:tcW w:w="1586" w:type="dxa"/>
            <w:vAlign w:val="center"/>
          </w:tcPr>
          <w:p w14:paraId="0042BBA4" w14:textId="141CF35D" w:rsidR="006A2B44" w:rsidRPr="006A2B44" w:rsidRDefault="006A2B44" w:rsidP="006A2B44">
            <w:pPr>
              <w:jc w:val="right"/>
              <w:rPr>
                <w:rFonts w:ascii="Arial" w:hAnsi="Arial" w:cs="Arial"/>
                <w:sz w:val="20"/>
                <w:szCs w:val="20"/>
              </w:rPr>
            </w:pPr>
          </w:p>
        </w:tc>
        <w:tc>
          <w:tcPr>
            <w:tcW w:w="828" w:type="dxa"/>
            <w:vAlign w:val="center"/>
          </w:tcPr>
          <w:p w14:paraId="1B25299E" w14:textId="644DB4C6" w:rsidR="006A2B44" w:rsidRPr="006A2B44" w:rsidRDefault="006A2B44" w:rsidP="006A2B44">
            <w:pPr>
              <w:jc w:val="right"/>
              <w:rPr>
                <w:rFonts w:ascii="Arial" w:hAnsi="Arial" w:cs="Arial"/>
                <w:sz w:val="20"/>
                <w:szCs w:val="20"/>
              </w:rPr>
            </w:pPr>
          </w:p>
        </w:tc>
      </w:tr>
      <w:tr w:rsidR="006A2B44" w14:paraId="2EA4F16E" w14:textId="77777777" w:rsidTr="006A2B44">
        <w:trPr>
          <w:jc w:val="center"/>
        </w:trPr>
        <w:tc>
          <w:tcPr>
            <w:tcW w:w="0" w:type="auto"/>
            <w:vAlign w:val="center"/>
          </w:tcPr>
          <w:p w14:paraId="37BDB867"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04581F76" w14:textId="62166203" w:rsidR="006A2B44" w:rsidRPr="006A2B44" w:rsidRDefault="006A2B44" w:rsidP="006A2B44">
            <w:pPr>
              <w:jc w:val="right"/>
              <w:rPr>
                <w:rFonts w:ascii="Arial" w:hAnsi="Arial" w:cs="Arial"/>
                <w:sz w:val="20"/>
                <w:szCs w:val="20"/>
              </w:rPr>
            </w:pPr>
            <w:r w:rsidRPr="006A2B44">
              <w:rPr>
                <w:rFonts w:ascii="Arial" w:hAnsi="Arial" w:cs="Arial"/>
                <w:sz w:val="20"/>
                <w:szCs w:val="20"/>
              </w:rPr>
              <w:t>203</w:t>
            </w:r>
          </w:p>
        </w:tc>
        <w:tc>
          <w:tcPr>
            <w:tcW w:w="0" w:type="auto"/>
            <w:vAlign w:val="center"/>
          </w:tcPr>
          <w:p w14:paraId="43BBB5C1" w14:textId="11CF664A" w:rsidR="006A2B44" w:rsidRPr="006A2B44" w:rsidRDefault="006A2B44" w:rsidP="006A2B44">
            <w:pPr>
              <w:jc w:val="right"/>
              <w:rPr>
                <w:rFonts w:ascii="Arial" w:hAnsi="Arial" w:cs="Arial"/>
                <w:sz w:val="20"/>
                <w:szCs w:val="20"/>
              </w:rPr>
            </w:pPr>
            <w:r w:rsidRPr="006A2B44">
              <w:rPr>
                <w:rFonts w:ascii="Arial" w:hAnsi="Arial" w:cs="Arial"/>
                <w:sz w:val="20"/>
                <w:szCs w:val="20"/>
              </w:rPr>
              <w:t>443.3</w:t>
            </w:r>
          </w:p>
        </w:tc>
        <w:tc>
          <w:tcPr>
            <w:tcW w:w="0" w:type="auto"/>
            <w:vAlign w:val="center"/>
          </w:tcPr>
          <w:p w14:paraId="13387652" w14:textId="2D3F45D9" w:rsidR="006A2B44" w:rsidRPr="006A2B44" w:rsidRDefault="006A2B44" w:rsidP="006A2B44">
            <w:pPr>
              <w:jc w:val="right"/>
              <w:rPr>
                <w:rFonts w:ascii="Arial" w:hAnsi="Arial" w:cs="Arial"/>
                <w:sz w:val="20"/>
                <w:szCs w:val="20"/>
              </w:rPr>
            </w:pPr>
            <w:r w:rsidRPr="006A2B44">
              <w:rPr>
                <w:rFonts w:ascii="Arial" w:hAnsi="Arial" w:cs="Arial"/>
                <w:sz w:val="20"/>
                <w:szCs w:val="20"/>
              </w:rPr>
              <w:t>355.6</w:t>
            </w:r>
          </w:p>
        </w:tc>
        <w:tc>
          <w:tcPr>
            <w:tcW w:w="1586" w:type="dxa"/>
            <w:vAlign w:val="center"/>
          </w:tcPr>
          <w:p w14:paraId="781FED05" w14:textId="6BB2E7FE" w:rsidR="006A2B44" w:rsidRPr="006A2B44" w:rsidRDefault="006A2B44" w:rsidP="006A2B44">
            <w:pPr>
              <w:jc w:val="right"/>
              <w:rPr>
                <w:rFonts w:ascii="Arial" w:hAnsi="Arial" w:cs="Arial"/>
                <w:sz w:val="20"/>
                <w:szCs w:val="20"/>
              </w:rPr>
            </w:pPr>
            <w:r w:rsidRPr="006A2B44">
              <w:rPr>
                <w:rFonts w:ascii="Arial" w:hAnsi="Arial" w:cs="Arial"/>
                <w:sz w:val="20"/>
                <w:szCs w:val="20"/>
              </w:rPr>
              <w:t>87.7</w:t>
            </w:r>
          </w:p>
        </w:tc>
        <w:tc>
          <w:tcPr>
            <w:tcW w:w="828" w:type="dxa"/>
            <w:vAlign w:val="center"/>
          </w:tcPr>
          <w:p w14:paraId="7BD4D2B9" w14:textId="0DBDCCB1" w:rsidR="006A2B44" w:rsidRPr="006A2B44" w:rsidRDefault="006A2B44" w:rsidP="006A2B44">
            <w:pPr>
              <w:jc w:val="right"/>
              <w:rPr>
                <w:rFonts w:ascii="Arial" w:hAnsi="Arial" w:cs="Arial"/>
                <w:sz w:val="20"/>
                <w:szCs w:val="20"/>
              </w:rPr>
            </w:pPr>
            <w:r w:rsidRPr="006A2B44">
              <w:rPr>
                <w:rFonts w:ascii="Arial" w:hAnsi="Arial" w:cs="Arial"/>
                <w:sz w:val="20"/>
                <w:szCs w:val="20"/>
              </w:rPr>
              <w:t>19.8%</w:t>
            </w:r>
          </w:p>
        </w:tc>
      </w:tr>
      <w:tr w:rsidR="006A2B44" w14:paraId="3EB5CED5" w14:textId="77777777" w:rsidTr="006A2B44">
        <w:trPr>
          <w:jc w:val="center"/>
        </w:trPr>
        <w:tc>
          <w:tcPr>
            <w:tcW w:w="0" w:type="auto"/>
            <w:vAlign w:val="center"/>
          </w:tcPr>
          <w:p w14:paraId="08CEC3EF"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7F3F596C" w14:textId="69871932" w:rsidR="006A2B44" w:rsidRPr="006A2B44" w:rsidRDefault="006A2B44" w:rsidP="006A2B44">
            <w:pPr>
              <w:jc w:val="right"/>
              <w:rPr>
                <w:rFonts w:ascii="Arial" w:hAnsi="Arial" w:cs="Arial"/>
                <w:sz w:val="20"/>
                <w:szCs w:val="20"/>
              </w:rPr>
            </w:pPr>
            <w:r w:rsidRPr="006A2B44">
              <w:rPr>
                <w:rFonts w:ascii="Arial" w:hAnsi="Arial" w:cs="Arial"/>
                <w:sz w:val="20"/>
                <w:szCs w:val="20"/>
              </w:rPr>
              <w:t>90</w:t>
            </w:r>
          </w:p>
        </w:tc>
        <w:tc>
          <w:tcPr>
            <w:tcW w:w="0" w:type="auto"/>
            <w:vAlign w:val="center"/>
          </w:tcPr>
          <w:p w14:paraId="3C568DE1" w14:textId="3741E2F1" w:rsidR="006A2B44" w:rsidRPr="006A2B44" w:rsidRDefault="006A2B44" w:rsidP="006A2B44">
            <w:pPr>
              <w:jc w:val="right"/>
              <w:rPr>
                <w:rFonts w:ascii="Arial" w:hAnsi="Arial" w:cs="Arial"/>
                <w:sz w:val="20"/>
                <w:szCs w:val="20"/>
              </w:rPr>
            </w:pPr>
            <w:r w:rsidRPr="006A2B44">
              <w:rPr>
                <w:rFonts w:ascii="Arial" w:hAnsi="Arial" w:cs="Arial"/>
                <w:sz w:val="20"/>
                <w:szCs w:val="20"/>
              </w:rPr>
              <w:t>66.9</w:t>
            </w:r>
          </w:p>
        </w:tc>
        <w:tc>
          <w:tcPr>
            <w:tcW w:w="0" w:type="auto"/>
            <w:vAlign w:val="center"/>
          </w:tcPr>
          <w:p w14:paraId="5F8DBE23" w14:textId="61022A97" w:rsidR="006A2B44" w:rsidRPr="006A2B44" w:rsidRDefault="006A2B44" w:rsidP="006A2B44">
            <w:pPr>
              <w:jc w:val="right"/>
              <w:rPr>
                <w:rFonts w:ascii="Arial" w:hAnsi="Arial" w:cs="Arial"/>
                <w:sz w:val="20"/>
                <w:szCs w:val="20"/>
              </w:rPr>
            </w:pPr>
            <w:r w:rsidRPr="006A2B44">
              <w:rPr>
                <w:rFonts w:ascii="Arial" w:hAnsi="Arial" w:cs="Arial"/>
                <w:sz w:val="20"/>
                <w:szCs w:val="20"/>
              </w:rPr>
              <w:t>53.2</w:t>
            </w:r>
          </w:p>
        </w:tc>
        <w:tc>
          <w:tcPr>
            <w:tcW w:w="1586" w:type="dxa"/>
            <w:vAlign w:val="center"/>
          </w:tcPr>
          <w:p w14:paraId="5BC436E7" w14:textId="57DE27AD" w:rsidR="006A2B44" w:rsidRPr="006A2B44" w:rsidRDefault="006A2B44" w:rsidP="006A2B44">
            <w:pPr>
              <w:jc w:val="right"/>
              <w:rPr>
                <w:rFonts w:ascii="Arial" w:hAnsi="Arial" w:cs="Arial"/>
                <w:sz w:val="20"/>
                <w:szCs w:val="20"/>
              </w:rPr>
            </w:pPr>
            <w:r w:rsidRPr="006A2B44">
              <w:rPr>
                <w:rFonts w:ascii="Arial" w:hAnsi="Arial" w:cs="Arial"/>
                <w:sz w:val="20"/>
                <w:szCs w:val="20"/>
              </w:rPr>
              <w:t>13.7</w:t>
            </w:r>
          </w:p>
        </w:tc>
        <w:tc>
          <w:tcPr>
            <w:tcW w:w="828" w:type="dxa"/>
            <w:vAlign w:val="center"/>
          </w:tcPr>
          <w:p w14:paraId="117B353B" w14:textId="53FDF16B" w:rsidR="006A2B44" w:rsidRPr="006A2B44" w:rsidRDefault="006A2B44" w:rsidP="006A2B44">
            <w:pPr>
              <w:jc w:val="right"/>
              <w:rPr>
                <w:rFonts w:ascii="Arial" w:hAnsi="Arial" w:cs="Arial"/>
                <w:sz w:val="20"/>
                <w:szCs w:val="20"/>
              </w:rPr>
            </w:pPr>
            <w:r w:rsidRPr="006A2B44">
              <w:rPr>
                <w:rFonts w:ascii="Arial" w:hAnsi="Arial" w:cs="Arial"/>
                <w:sz w:val="20"/>
                <w:szCs w:val="20"/>
              </w:rPr>
              <w:t>20.4%</w:t>
            </w:r>
          </w:p>
        </w:tc>
      </w:tr>
      <w:tr w:rsidR="006A2B44" w14:paraId="4DAA2685" w14:textId="77777777" w:rsidTr="006A2B44">
        <w:trPr>
          <w:jc w:val="center"/>
        </w:trPr>
        <w:tc>
          <w:tcPr>
            <w:tcW w:w="0" w:type="auto"/>
            <w:vAlign w:val="center"/>
          </w:tcPr>
          <w:p w14:paraId="5FCC9645"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46ADCD8D" w14:textId="7AAF742E" w:rsidR="006A2B44" w:rsidRPr="006A2B44" w:rsidRDefault="006A2B44" w:rsidP="006A2B44">
            <w:pPr>
              <w:jc w:val="right"/>
              <w:rPr>
                <w:rFonts w:ascii="Arial" w:hAnsi="Arial" w:cs="Arial"/>
                <w:sz w:val="20"/>
                <w:szCs w:val="20"/>
              </w:rPr>
            </w:pPr>
            <w:r w:rsidRPr="006A2B44">
              <w:rPr>
                <w:rFonts w:ascii="Arial" w:hAnsi="Arial" w:cs="Arial"/>
                <w:sz w:val="20"/>
                <w:szCs w:val="20"/>
              </w:rPr>
              <w:t>238</w:t>
            </w:r>
          </w:p>
        </w:tc>
        <w:tc>
          <w:tcPr>
            <w:tcW w:w="0" w:type="auto"/>
            <w:vAlign w:val="center"/>
          </w:tcPr>
          <w:p w14:paraId="14B37710" w14:textId="4E00E6D2" w:rsidR="006A2B44" w:rsidRPr="006A2B44" w:rsidRDefault="006A2B44" w:rsidP="006A2B44">
            <w:pPr>
              <w:jc w:val="right"/>
              <w:rPr>
                <w:rFonts w:ascii="Arial" w:hAnsi="Arial" w:cs="Arial"/>
                <w:sz w:val="20"/>
                <w:szCs w:val="20"/>
              </w:rPr>
            </w:pPr>
            <w:r w:rsidRPr="006A2B44">
              <w:rPr>
                <w:rFonts w:ascii="Arial" w:hAnsi="Arial" w:cs="Arial"/>
                <w:sz w:val="20"/>
                <w:szCs w:val="20"/>
              </w:rPr>
              <w:t>57.6</w:t>
            </w:r>
          </w:p>
        </w:tc>
        <w:tc>
          <w:tcPr>
            <w:tcW w:w="0" w:type="auto"/>
            <w:vAlign w:val="center"/>
          </w:tcPr>
          <w:p w14:paraId="43EB5650" w14:textId="10F9C23E" w:rsidR="006A2B44" w:rsidRPr="006A2B44" w:rsidRDefault="006A2B44" w:rsidP="006A2B44">
            <w:pPr>
              <w:jc w:val="right"/>
              <w:rPr>
                <w:rFonts w:ascii="Arial" w:hAnsi="Arial" w:cs="Arial"/>
                <w:sz w:val="20"/>
                <w:szCs w:val="20"/>
              </w:rPr>
            </w:pPr>
            <w:r w:rsidRPr="006A2B44">
              <w:rPr>
                <w:rFonts w:ascii="Arial" w:hAnsi="Arial" w:cs="Arial"/>
                <w:sz w:val="20"/>
                <w:szCs w:val="20"/>
              </w:rPr>
              <w:t>57.3</w:t>
            </w:r>
          </w:p>
        </w:tc>
        <w:tc>
          <w:tcPr>
            <w:tcW w:w="1586" w:type="dxa"/>
            <w:vAlign w:val="center"/>
          </w:tcPr>
          <w:p w14:paraId="365B0910" w14:textId="2AF4D67A" w:rsidR="006A2B44" w:rsidRPr="006A2B44" w:rsidRDefault="006A2B44" w:rsidP="006A2B44">
            <w:pPr>
              <w:jc w:val="right"/>
              <w:rPr>
                <w:rFonts w:ascii="Arial" w:hAnsi="Arial" w:cs="Arial"/>
                <w:sz w:val="20"/>
                <w:szCs w:val="20"/>
              </w:rPr>
            </w:pPr>
            <w:r w:rsidRPr="006A2B44">
              <w:rPr>
                <w:rFonts w:ascii="Arial" w:hAnsi="Arial" w:cs="Arial"/>
                <w:sz w:val="20"/>
                <w:szCs w:val="20"/>
              </w:rPr>
              <w:t>0.3</w:t>
            </w:r>
          </w:p>
        </w:tc>
        <w:tc>
          <w:tcPr>
            <w:tcW w:w="828" w:type="dxa"/>
            <w:vAlign w:val="center"/>
          </w:tcPr>
          <w:p w14:paraId="5D778806" w14:textId="387D8F87" w:rsidR="006A2B44" w:rsidRPr="006A2B44" w:rsidRDefault="006A2B44" w:rsidP="006A2B44">
            <w:pPr>
              <w:jc w:val="right"/>
              <w:rPr>
                <w:rFonts w:ascii="Arial" w:hAnsi="Arial" w:cs="Arial"/>
                <w:sz w:val="20"/>
                <w:szCs w:val="20"/>
              </w:rPr>
            </w:pPr>
            <w:r w:rsidRPr="006A2B44">
              <w:rPr>
                <w:rFonts w:ascii="Arial" w:hAnsi="Arial" w:cs="Arial"/>
                <w:sz w:val="20"/>
                <w:szCs w:val="20"/>
              </w:rPr>
              <w:t>0.6%</w:t>
            </w:r>
          </w:p>
        </w:tc>
      </w:tr>
      <w:tr w:rsidR="006A2B44" w14:paraId="2D8B3E19" w14:textId="77777777" w:rsidTr="006A2B44">
        <w:trPr>
          <w:jc w:val="center"/>
        </w:trPr>
        <w:tc>
          <w:tcPr>
            <w:tcW w:w="0" w:type="auto"/>
            <w:vAlign w:val="center"/>
          </w:tcPr>
          <w:p w14:paraId="13949C14"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Offices, Hotels, Health, Services</w:t>
            </w:r>
          </w:p>
        </w:tc>
        <w:tc>
          <w:tcPr>
            <w:tcW w:w="0" w:type="auto"/>
            <w:vAlign w:val="center"/>
          </w:tcPr>
          <w:p w14:paraId="473463FC" w14:textId="1BB82D45" w:rsidR="006A2B44" w:rsidRPr="006A2B44" w:rsidRDefault="006A2B44" w:rsidP="006A2B44">
            <w:pPr>
              <w:jc w:val="right"/>
              <w:rPr>
                <w:rFonts w:ascii="Arial" w:hAnsi="Arial" w:cs="Arial"/>
                <w:sz w:val="20"/>
                <w:szCs w:val="20"/>
              </w:rPr>
            </w:pPr>
            <w:r w:rsidRPr="006A2B44">
              <w:rPr>
                <w:rFonts w:ascii="Arial" w:hAnsi="Arial" w:cs="Arial"/>
                <w:sz w:val="20"/>
                <w:szCs w:val="20"/>
              </w:rPr>
              <w:t>200</w:t>
            </w:r>
          </w:p>
        </w:tc>
        <w:tc>
          <w:tcPr>
            <w:tcW w:w="0" w:type="auto"/>
            <w:vAlign w:val="center"/>
          </w:tcPr>
          <w:p w14:paraId="3FECA7A5" w14:textId="2FD32605" w:rsidR="006A2B44" w:rsidRPr="006A2B44" w:rsidRDefault="006A2B44" w:rsidP="006A2B44">
            <w:pPr>
              <w:jc w:val="right"/>
              <w:rPr>
                <w:rFonts w:ascii="Arial" w:hAnsi="Arial" w:cs="Arial"/>
                <w:sz w:val="20"/>
                <w:szCs w:val="20"/>
              </w:rPr>
            </w:pPr>
            <w:r w:rsidRPr="006A2B44">
              <w:rPr>
                <w:rFonts w:ascii="Arial" w:hAnsi="Arial" w:cs="Arial"/>
                <w:sz w:val="20"/>
                <w:szCs w:val="20"/>
              </w:rPr>
              <w:t>129.0</w:t>
            </w:r>
          </w:p>
        </w:tc>
        <w:tc>
          <w:tcPr>
            <w:tcW w:w="0" w:type="auto"/>
            <w:vAlign w:val="center"/>
          </w:tcPr>
          <w:p w14:paraId="74E82A66" w14:textId="3C41D99C" w:rsidR="006A2B44" w:rsidRPr="006A2B44" w:rsidRDefault="006A2B44" w:rsidP="006A2B44">
            <w:pPr>
              <w:jc w:val="right"/>
              <w:rPr>
                <w:rFonts w:ascii="Arial" w:hAnsi="Arial" w:cs="Arial"/>
                <w:sz w:val="20"/>
                <w:szCs w:val="20"/>
              </w:rPr>
            </w:pPr>
            <w:r w:rsidRPr="006A2B44">
              <w:rPr>
                <w:rFonts w:ascii="Arial" w:hAnsi="Arial" w:cs="Arial"/>
                <w:sz w:val="20"/>
                <w:szCs w:val="20"/>
              </w:rPr>
              <w:t>126.0</w:t>
            </w:r>
          </w:p>
        </w:tc>
        <w:tc>
          <w:tcPr>
            <w:tcW w:w="1586" w:type="dxa"/>
            <w:vAlign w:val="center"/>
          </w:tcPr>
          <w:p w14:paraId="09AF7382" w14:textId="2CF5F8F1" w:rsidR="006A2B44" w:rsidRPr="006A2B44" w:rsidRDefault="006A2B44" w:rsidP="006A2B44">
            <w:pPr>
              <w:jc w:val="right"/>
              <w:rPr>
                <w:rFonts w:ascii="Arial" w:hAnsi="Arial" w:cs="Arial"/>
                <w:sz w:val="20"/>
                <w:szCs w:val="20"/>
              </w:rPr>
            </w:pPr>
            <w:r w:rsidRPr="006A2B44">
              <w:rPr>
                <w:rFonts w:ascii="Arial" w:hAnsi="Arial" w:cs="Arial"/>
                <w:sz w:val="20"/>
                <w:szCs w:val="20"/>
              </w:rPr>
              <w:t>3.0</w:t>
            </w:r>
          </w:p>
        </w:tc>
        <w:tc>
          <w:tcPr>
            <w:tcW w:w="828" w:type="dxa"/>
            <w:vAlign w:val="center"/>
          </w:tcPr>
          <w:p w14:paraId="2AEEFDCC" w14:textId="2D57260C" w:rsidR="006A2B44" w:rsidRPr="006A2B44" w:rsidRDefault="006A2B44" w:rsidP="006A2B44">
            <w:pPr>
              <w:jc w:val="right"/>
              <w:rPr>
                <w:rFonts w:ascii="Arial" w:hAnsi="Arial" w:cs="Arial"/>
                <w:sz w:val="20"/>
                <w:szCs w:val="20"/>
              </w:rPr>
            </w:pPr>
            <w:r w:rsidRPr="006A2B44">
              <w:rPr>
                <w:rFonts w:ascii="Arial" w:hAnsi="Arial" w:cs="Arial"/>
                <w:sz w:val="20"/>
                <w:szCs w:val="20"/>
              </w:rPr>
              <w:t>2.3%</w:t>
            </w:r>
          </w:p>
        </w:tc>
      </w:tr>
      <w:tr w:rsidR="006A2B44" w14:paraId="0C681CCC" w14:textId="77777777" w:rsidTr="006A2B44">
        <w:trPr>
          <w:jc w:val="center"/>
        </w:trPr>
        <w:tc>
          <w:tcPr>
            <w:tcW w:w="0" w:type="auto"/>
            <w:vAlign w:val="center"/>
          </w:tcPr>
          <w:p w14:paraId="51DA0765"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Schools</w:t>
            </w:r>
          </w:p>
        </w:tc>
        <w:tc>
          <w:tcPr>
            <w:tcW w:w="0" w:type="auto"/>
            <w:vAlign w:val="center"/>
          </w:tcPr>
          <w:p w14:paraId="345A7E04" w14:textId="61CE5084" w:rsidR="006A2B44" w:rsidRPr="006A2B44" w:rsidRDefault="006A2B44" w:rsidP="006A2B44">
            <w:pPr>
              <w:jc w:val="right"/>
              <w:rPr>
                <w:rFonts w:ascii="Arial" w:hAnsi="Arial" w:cs="Arial"/>
                <w:sz w:val="20"/>
                <w:szCs w:val="20"/>
              </w:rPr>
            </w:pPr>
            <w:r w:rsidRPr="006A2B44">
              <w:rPr>
                <w:rFonts w:ascii="Arial" w:hAnsi="Arial" w:cs="Arial"/>
                <w:sz w:val="20"/>
                <w:szCs w:val="20"/>
              </w:rPr>
              <w:t>141</w:t>
            </w:r>
          </w:p>
        </w:tc>
        <w:tc>
          <w:tcPr>
            <w:tcW w:w="0" w:type="auto"/>
            <w:vAlign w:val="center"/>
          </w:tcPr>
          <w:p w14:paraId="0EA12E81" w14:textId="1A93C370" w:rsidR="006A2B44" w:rsidRPr="006A2B44" w:rsidRDefault="006A2B44" w:rsidP="006A2B44">
            <w:pPr>
              <w:jc w:val="right"/>
              <w:rPr>
                <w:rFonts w:ascii="Arial" w:hAnsi="Arial" w:cs="Arial"/>
                <w:sz w:val="20"/>
                <w:szCs w:val="20"/>
              </w:rPr>
            </w:pPr>
            <w:r w:rsidRPr="006A2B44">
              <w:rPr>
                <w:rFonts w:ascii="Arial" w:hAnsi="Arial" w:cs="Arial"/>
                <w:sz w:val="20"/>
                <w:szCs w:val="20"/>
              </w:rPr>
              <w:t>23.8</w:t>
            </w:r>
          </w:p>
        </w:tc>
        <w:tc>
          <w:tcPr>
            <w:tcW w:w="0" w:type="auto"/>
            <w:vAlign w:val="center"/>
          </w:tcPr>
          <w:p w14:paraId="5881D68A" w14:textId="48403784" w:rsidR="006A2B44" w:rsidRPr="006A2B44" w:rsidRDefault="006A2B44" w:rsidP="006A2B44">
            <w:pPr>
              <w:jc w:val="right"/>
              <w:rPr>
                <w:rFonts w:ascii="Arial" w:hAnsi="Arial" w:cs="Arial"/>
                <w:sz w:val="20"/>
                <w:szCs w:val="20"/>
              </w:rPr>
            </w:pPr>
            <w:r w:rsidRPr="006A2B44">
              <w:rPr>
                <w:rFonts w:ascii="Arial" w:hAnsi="Arial" w:cs="Arial"/>
                <w:sz w:val="20"/>
                <w:szCs w:val="20"/>
              </w:rPr>
              <w:t>23.3</w:t>
            </w:r>
          </w:p>
        </w:tc>
        <w:tc>
          <w:tcPr>
            <w:tcW w:w="1586" w:type="dxa"/>
            <w:vAlign w:val="center"/>
          </w:tcPr>
          <w:p w14:paraId="08105782" w14:textId="7814BEE2" w:rsidR="006A2B44" w:rsidRPr="006A2B44" w:rsidRDefault="006A2B44" w:rsidP="006A2B44">
            <w:pPr>
              <w:jc w:val="right"/>
              <w:rPr>
                <w:rFonts w:ascii="Arial" w:hAnsi="Arial" w:cs="Arial"/>
                <w:sz w:val="20"/>
                <w:szCs w:val="20"/>
              </w:rPr>
            </w:pPr>
            <w:r w:rsidRPr="006A2B44">
              <w:rPr>
                <w:rFonts w:ascii="Arial" w:hAnsi="Arial" w:cs="Arial"/>
                <w:sz w:val="20"/>
                <w:szCs w:val="20"/>
              </w:rPr>
              <w:t>0.5</w:t>
            </w:r>
          </w:p>
        </w:tc>
        <w:tc>
          <w:tcPr>
            <w:tcW w:w="828" w:type="dxa"/>
            <w:vAlign w:val="center"/>
          </w:tcPr>
          <w:p w14:paraId="75F9D4DD" w14:textId="4999E1FB" w:rsidR="006A2B44" w:rsidRPr="006A2B44" w:rsidRDefault="006A2B44" w:rsidP="006A2B44">
            <w:pPr>
              <w:jc w:val="right"/>
              <w:rPr>
                <w:rFonts w:ascii="Arial" w:hAnsi="Arial" w:cs="Arial"/>
                <w:sz w:val="20"/>
                <w:szCs w:val="20"/>
              </w:rPr>
            </w:pPr>
            <w:r w:rsidRPr="006A2B44">
              <w:rPr>
                <w:rFonts w:ascii="Arial" w:hAnsi="Arial" w:cs="Arial"/>
                <w:sz w:val="20"/>
                <w:szCs w:val="20"/>
              </w:rPr>
              <w:t>2.2%</w:t>
            </w:r>
          </w:p>
        </w:tc>
      </w:tr>
      <w:tr w:rsidR="006A2B44" w14:paraId="770FDE87" w14:textId="77777777" w:rsidTr="006A2B44">
        <w:trPr>
          <w:jc w:val="center"/>
        </w:trPr>
        <w:tc>
          <w:tcPr>
            <w:tcW w:w="0" w:type="auto"/>
            <w:vAlign w:val="center"/>
          </w:tcPr>
          <w:p w14:paraId="112570FD" w14:textId="77777777" w:rsidR="006A2B44" w:rsidRPr="007E0A27" w:rsidRDefault="006A2B44" w:rsidP="006A2B44">
            <w:pPr>
              <w:keepNext/>
              <w:keepLines/>
              <w:rPr>
                <w:rFonts w:ascii="Arial" w:hAnsi="Arial" w:cs="Arial"/>
                <w:sz w:val="20"/>
                <w:szCs w:val="20"/>
              </w:rPr>
            </w:pPr>
            <w:r w:rsidRPr="007E0A27">
              <w:rPr>
                <w:rFonts w:ascii="Arial" w:hAnsi="Arial" w:cs="Arial"/>
                <w:sz w:val="20"/>
                <w:szCs w:val="20"/>
              </w:rPr>
              <w:t>Entertainment, Other Services, Government</w:t>
            </w:r>
          </w:p>
        </w:tc>
        <w:tc>
          <w:tcPr>
            <w:tcW w:w="0" w:type="auto"/>
            <w:vAlign w:val="center"/>
          </w:tcPr>
          <w:p w14:paraId="646C5A32" w14:textId="4867E771" w:rsidR="006A2B44" w:rsidRPr="006A2B44" w:rsidRDefault="006A2B44" w:rsidP="006A2B44">
            <w:pPr>
              <w:jc w:val="right"/>
              <w:rPr>
                <w:rFonts w:ascii="Arial" w:hAnsi="Arial" w:cs="Arial"/>
                <w:sz w:val="20"/>
                <w:szCs w:val="20"/>
              </w:rPr>
            </w:pPr>
          </w:p>
        </w:tc>
        <w:tc>
          <w:tcPr>
            <w:tcW w:w="0" w:type="auto"/>
            <w:vAlign w:val="center"/>
          </w:tcPr>
          <w:p w14:paraId="2BCD2A86" w14:textId="63C99BB9" w:rsidR="006A2B44" w:rsidRPr="006A2B44" w:rsidRDefault="006A2B44" w:rsidP="006A2B44">
            <w:pPr>
              <w:jc w:val="right"/>
              <w:rPr>
                <w:rFonts w:ascii="Arial" w:hAnsi="Arial" w:cs="Arial"/>
                <w:sz w:val="20"/>
                <w:szCs w:val="20"/>
              </w:rPr>
            </w:pPr>
          </w:p>
        </w:tc>
        <w:tc>
          <w:tcPr>
            <w:tcW w:w="0" w:type="auto"/>
            <w:vAlign w:val="center"/>
          </w:tcPr>
          <w:p w14:paraId="78E521E8" w14:textId="1A4F0042" w:rsidR="006A2B44" w:rsidRPr="006A2B44" w:rsidRDefault="006A2B44" w:rsidP="006A2B44">
            <w:pPr>
              <w:jc w:val="right"/>
              <w:rPr>
                <w:rFonts w:ascii="Arial" w:hAnsi="Arial" w:cs="Arial"/>
                <w:sz w:val="20"/>
                <w:szCs w:val="20"/>
              </w:rPr>
            </w:pPr>
          </w:p>
        </w:tc>
        <w:tc>
          <w:tcPr>
            <w:tcW w:w="1586" w:type="dxa"/>
            <w:vAlign w:val="center"/>
          </w:tcPr>
          <w:p w14:paraId="0952A936" w14:textId="53D48068" w:rsidR="006A2B44" w:rsidRPr="006A2B44" w:rsidRDefault="006A2B44" w:rsidP="006A2B44">
            <w:pPr>
              <w:jc w:val="right"/>
              <w:rPr>
                <w:rFonts w:ascii="Arial" w:hAnsi="Arial" w:cs="Arial"/>
                <w:sz w:val="20"/>
                <w:szCs w:val="20"/>
              </w:rPr>
            </w:pPr>
          </w:p>
        </w:tc>
        <w:tc>
          <w:tcPr>
            <w:tcW w:w="828" w:type="dxa"/>
            <w:vAlign w:val="center"/>
          </w:tcPr>
          <w:p w14:paraId="43322DB2" w14:textId="11891AC4" w:rsidR="006A2B44" w:rsidRPr="006A2B44" w:rsidRDefault="006A2B44" w:rsidP="006A2B44">
            <w:pPr>
              <w:jc w:val="right"/>
              <w:rPr>
                <w:rFonts w:ascii="Arial" w:hAnsi="Arial" w:cs="Arial"/>
                <w:sz w:val="20"/>
                <w:szCs w:val="20"/>
              </w:rPr>
            </w:pPr>
          </w:p>
        </w:tc>
      </w:tr>
      <w:tr w:rsidR="006A2B44" w14:paraId="6650CCE4" w14:textId="77777777" w:rsidTr="006A2B44">
        <w:trPr>
          <w:jc w:val="center"/>
        </w:trPr>
        <w:tc>
          <w:tcPr>
            <w:tcW w:w="0" w:type="auto"/>
            <w:vAlign w:val="center"/>
          </w:tcPr>
          <w:p w14:paraId="36D8CB38" w14:textId="77777777" w:rsidR="006A2B44" w:rsidRPr="007E0A27" w:rsidRDefault="006A2B44" w:rsidP="006A2B44">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35F8E5A8" w14:textId="395024FE" w:rsidR="006A2B44" w:rsidRPr="006A2B44" w:rsidRDefault="006A2B44" w:rsidP="006A2B44">
            <w:pPr>
              <w:jc w:val="right"/>
              <w:rPr>
                <w:rFonts w:ascii="Arial" w:hAnsi="Arial" w:cs="Arial"/>
                <w:b/>
                <w:sz w:val="20"/>
                <w:szCs w:val="20"/>
              </w:rPr>
            </w:pPr>
            <w:r w:rsidRPr="006A2B44">
              <w:rPr>
                <w:rFonts w:ascii="Arial" w:hAnsi="Arial" w:cs="Arial"/>
                <w:b/>
                <w:sz w:val="20"/>
                <w:szCs w:val="20"/>
              </w:rPr>
              <w:t>944</w:t>
            </w:r>
          </w:p>
        </w:tc>
        <w:tc>
          <w:tcPr>
            <w:tcW w:w="0" w:type="auto"/>
            <w:vAlign w:val="center"/>
          </w:tcPr>
          <w:p w14:paraId="288F2E5B" w14:textId="0E5FB7A8" w:rsidR="006A2B44" w:rsidRPr="006A2B44" w:rsidRDefault="006A2B44" w:rsidP="006A2B44">
            <w:pPr>
              <w:jc w:val="right"/>
              <w:rPr>
                <w:rFonts w:ascii="Arial" w:hAnsi="Arial" w:cs="Arial"/>
                <w:b/>
                <w:sz w:val="20"/>
                <w:szCs w:val="20"/>
              </w:rPr>
            </w:pPr>
            <w:r w:rsidRPr="006A2B44">
              <w:rPr>
                <w:rFonts w:ascii="Arial" w:hAnsi="Arial" w:cs="Arial"/>
                <w:b/>
                <w:sz w:val="20"/>
                <w:szCs w:val="20"/>
              </w:rPr>
              <w:t>813.6</w:t>
            </w:r>
          </w:p>
        </w:tc>
        <w:tc>
          <w:tcPr>
            <w:tcW w:w="0" w:type="auto"/>
            <w:vAlign w:val="center"/>
          </w:tcPr>
          <w:p w14:paraId="17F2281C" w14:textId="11F74C53" w:rsidR="006A2B44" w:rsidRPr="006A2B44" w:rsidRDefault="006A2B44" w:rsidP="006A2B44">
            <w:pPr>
              <w:jc w:val="right"/>
              <w:rPr>
                <w:rFonts w:ascii="Arial" w:hAnsi="Arial" w:cs="Arial"/>
                <w:b/>
                <w:sz w:val="20"/>
                <w:szCs w:val="20"/>
              </w:rPr>
            </w:pPr>
            <w:r w:rsidRPr="006A2B44">
              <w:rPr>
                <w:rFonts w:ascii="Arial" w:hAnsi="Arial" w:cs="Arial"/>
                <w:b/>
                <w:sz w:val="20"/>
                <w:szCs w:val="20"/>
              </w:rPr>
              <w:t>706.9</w:t>
            </w:r>
          </w:p>
        </w:tc>
        <w:tc>
          <w:tcPr>
            <w:tcW w:w="1586" w:type="dxa"/>
            <w:vAlign w:val="center"/>
          </w:tcPr>
          <w:p w14:paraId="3FF985DA" w14:textId="145FCB64" w:rsidR="006A2B44" w:rsidRPr="006A2B44" w:rsidRDefault="006A2B44" w:rsidP="006A2B44">
            <w:pPr>
              <w:jc w:val="right"/>
              <w:rPr>
                <w:rFonts w:ascii="Arial" w:hAnsi="Arial" w:cs="Arial"/>
                <w:b/>
                <w:sz w:val="20"/>
                <w:szCs w:val="20"/>
              </w:rPr>
            </w:pPr>
            <w:r w:rsidRPr="006A2B44">
              <w:rPr>
                <w:rFonts w:ascii="Arial" w:hAnsi="Arial" w:cs="Arial"/>
                <w:b/>
                <w:sz w:val="20"/>
                <w:szCs w:val="20"/>
              </w:rPr>
              <w:t>106.7</w:t>
            </w:r>
          </w:p>
        </w:tc>
        <w:tc>
          <w:tcPr>
            <w:tcW w:w="828" w:type="dxa"/>
            <w:vAlign w:val="center"/>
          </w:tcPr>
          <w:p w14:paraId="6290C134" w14:textId="3EF5F33D" w:rsidR="006A2B44" w:rsidRPr="006A2B44" w:rsidRDefault="006A2B44" w:rsidP="006A2B44">
            <w:pPr>
              <w:jc w:val="right"/>
              <w:rPr>
                <w:rFonts w:ascii="Arial" w:hAnsi="Arial" w:cs="Arial"/>
                <w:b/>
                <w:sz w:val="20"/>
                <w:szCs w:val="20"/>
              </w:rPr>
            </w:pPr>
            <w:r w:rsidRPr="006A2B44">
              <w:rPr>
                <w:rFonts w:ascii="Arial" w:hAnsi="Arial" w:cs="Arial"/>
                <w:b/>
                <w:sz w:val="20"/>
                <w:szCs w:val="20"/>
              </w:rPr>
              <w:t>13.1%</w:t>
            </w:r>
          </w:p>
        </w:tc>
      </w:tr>
    </w:tbl>
    <w:p w14:paraId="44D14156" w14:textId="77777777" w:rsidR="00321E09" w:rsidRDefault="00321E09" w:rsidP="00670145"/>
    <w:p w14:paraId="2AC45969" w14:textId="768265C4" w:rsidR="00321E09" w:rsidRPr="00852320" w:rsidRDefault="00321E09" w:rsidP="00435763">
      <w:pPr>
        <w:pStyle w:val="TableCaption"/>
        <w:keepNext/>
        <w:keepLines/>
      </w:pPr>
      <w:bookmarkStart w:id="116" w:name="_Toc415761882"/>
      <w:r w:rsidRPr="00852320">
        <w:lastRenderedPageBreak/>
        <w:t>Table 4.</w:t>
      </w:r>
      <w:r w:rsidR="006C0BBF" w:rsidRPr="00852320">
        <w:t>9</w:t>
      </w:r>
      <w:r w:rsidRPr="00852320">
        <w:t>: Average</w:t>
      </w:r>
      <w:r w:rsidR="00742A4F">
        <w:t xml:space="preserve"> Event-</w:t>
      </w:r>
      <w:r w:rsidRPr="00852320">
        <w:t xml:space="preserve">Hour Load Impacts – SCE DBP, </w:t>
      </w:r>
      <w:r w:rsidRPr="00852320">
        <w:rPr>
          <w:i/>
        </w:rPr>
        <w:t>by LCA</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128"/>
        <w:gridCol w:w="1939"/>
        <w:gridCol w:w="1510"/>
        <w:gridCol w:w="1619"/>
        <w:gridCol w:w="784"/>
      </w:tblGrid>
      <w:tr w:rsidR="00321E09" w14:paraId="37CAF7D2" w14:textId="77777777" w:rsidTr="00D31BD7">
        <w:tc>
          <w:tcPr>
            <w:tcW w:w="1713" w:type="dxa"/>
            <w:shd w:val="clear" w:color="auto" w:fill="D9E2F3"/>
            <w:vAlign w:val="center"/>
          </w:tcPr>
          <w:p w14:paraId="49A6CA77"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Local Capacity Area</w:t>
            </w:r>
          </w:p>
        </w:tc>
        <w:tc>
          <w:tcPr>
            <w:tcW w:w="1128" w:type="dxa"/>
            <w:shd w:val="clear" w:color="auto" w:fill="D9E2F3"/>
            <w:vAlign w:val="center"/>
          </w:tcPr>
          <w:p w14:paraId="1EB20F59" w14:textId="77777777" w:rsidR="00321E09" w:rsidRPr="007E0A27" w:rsidRDefault="00690746" w:rsidP="00435763">
            <w:pPr>
              <w:keepNext/>
              <w:keepLines/>
              <w:jc w:val="center"/>
              <w:rPr>
                <w:rFonts w:ascii="Arial" w:hAnsi="Arial" w:cs="Arial"/>
                <w:b/>
                <w:sz w:val="20"/>
                <w:szCs w:val="20"/>
              </w:rPr>
            </w:pPr>
            <w:r>
              <w:rPr>
                <w:rFonts w:ascii="Arial" w:hAnsi="Arial" w:cs="Arial"/>
                <w:b/>
                <w:sz w:val="20"/>
                <w:szCs w:val="20"/>
              </w:rPr>
              <w:t># of Service Accounts</w:t>
            </w:r>
          </w:p>
        </w:tc>
        <w:tc>
          <w:tcPr>
            <w:tcW w:w="2017" w:type="dxa"/>
            <w:shd w:val="clear" w:color="auto" w:fill="D9E2F3"/>
            <w:vAlign w:val="center"/>
          </w:tcPr>
          <w:p w14:paraId="30039430"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549" w:type="dxa"/>
            <w:shd w:val="clear" w:color="auto" w:fill="D9E2F3"/>
            <w:vAlign w:val="center"/>
          </w:tcPr>
          <w:p w14:paraId="1458BA86"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Observed Load (MW)</w:t>
            </w:r>
          </w:p>
        </w:tc>
        <w:tc>
          <w:tcPr>
            <w:tcW w:w="1665" w:type="dxa"/>
            <w:shd w:val="clear" w:color="auto" w:fill="D9E2F3"/>
            <w:vAlign w:val="center"/>
          </w:tcPr>
          <w:p w14:paraId="2AF86C4A"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175F22E9"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 LI</w:t>
            </w:r>
          </w:p>
        </w:tc>
      </w:tr>
      <w:tr w:rsidR="000262AA" w14:paraId="6651A48E" w14:textId="77777777" w:rsidTr="000262AA">
        <w:tc>
          <w:tcPr>
            <w:tcW w:w="1713" w:type="dxa"/>
            <w:vAlign w:val="center"/>
          </w:tcPr>
          <w:p w14:paraId="00920F74" w14:textId="77777777" w:rsidR="000262AA" w:rsidRPr="00E470E1" w:rsidRDefault="000262AA" w:rsidP="000262AA">
            <w:pPr>
              <w:keepNext/>
              <w:keepLines/>
              <w:rPr>
                <w:rFonts w:ascii="Arial" w:hAnsi="Arial" w:cs="Arial"/>
                <w:sz w:val="20"/>
                <w:szCs w:val="20"/>
              </w:rPr>
            </w:pPr>
            <w:r w:rsidRPr="00E470E1">
              <w:rPr>
                <w:rFonts w:ascii="Arial" w:hAnsi="Arial" w:cs="Arial"/>
                <w:sz w:val="20"/>
                <w:szCs w:val="20"/>
              </w:rPr>
              <w:t>LA Basin</w:t>
            </w:r>
          </w:p>
        </w:tc>
        <w:tc>
          <w:tcPr>
            <w:tcW w:w="1128" w:type="dxa"/>
            <w:vAlign w:val="center"/>
          </w:tcPr>
          <w:p w14:paraId="7E6798A6" w14:textId="1318A23A" w:rsidR="000262AA" w:rsidRPr="000262AA" w:rsidRDefault="000262AA" w:rsidP="000262AA">
            <w:pPr>
              <w:jc w:val="right"/>
              <w:rPr>
                <w:rFonts w:ascii="Arial" w:hAnsi="Arial" w:cs="Arial"/>
                <w:sz w:val="20"/>
                <w:szCs w:val="20"/>
              </w:rPr>
            </w:pPr>
            <w:r w:rsidRPr="000262AA">
              <w:rPr>
                <w:rFonts w:ascii="Arial" w:hAnsi="Arial" w:cs="Arial"/>
                <w:sz w:val="20"/>
                <w:szCs w:val="20"/>
              </w:rPr>
              <w:t>751</w:t>
            </w:r>
          </w:p>
        </w:tc>
        <w:tc>
          <w:tcPr>
            <w:tcW w:w="2017" w:type="dxa"/>
            <w:vAlign w:val="center"/>
          </w:tcPr>
          <w:p w14:paraId="67580B65" w14:textId="2DEC2D49" w:rsidR="000262AA" w:rsidRPr="000262AA" w:rsidRDefault="000262AA" w:rsidP="000262AA">
            <w:pPr>
              <w:jc w:val="right"/>
              <w:rPr>
                <w:rFonts w:ascii="Arial" w:hAnsi="Arial" w:cs="Arial"/>
                <w:sz w:val="20"/>
                <w:szCs w:val="20"/>
              </w:rPr>
            </w:pPr>
            <w:r w:rsidRPr="000262AA">
              <w:rPr>
                <w:rFonts w:ascii="Arial" w:hAnsi="Arial" w:cs="Arial"/>
                <w:sz w:val="20"/>
                <w:szCs w:val="20"/>
              </w:rPr>
              <w:t>518.0</w:t>
            </w:r>
          </w:p>
        </w:tc>
        <w:tc>
          <w:tcPr>
            <w:tcW w:w="1549" w:type="dxa"/>
            <w:vAlign w:val="center"/>
          </w:tcPr>
          <w:p w14:paraId="37BA0712" w14:textId="79AE0EBA" w:rsidR="000262AA" w:rsidRPr="000262AA" w:rsidRDefault="000262AA" w:rsidP="000262AA">
            <w:pPr>
              <w:jc w:val="right"/>
              <w:rPr>
                <w:rFonts w:ascii="Arial" w:hAnsi="Arial" w:cs="Arial"/>
                <w:sz w:val="20"/>
                <w:szCs w:val="20"/>
              </w:rPr>
            </w:pPr>
            <w:r w:rsidRPr="000262AA">
              <w:rPr>
                <w:rFonts w:ascii="Arial" w:hAnsi="Arial" w:cs="Arial"/>
                <w:sz w:val="20"/>
                <w:szCs w:val="20"/>
              </w:rPr>
              <w:t>450.7</w:t>
            </w:r>
          </w:p>
        </w:tc>
        <w:tc>
          <w:tcPr>
            <w:tcW w:w="1665" w:type="dxa"/>
            <w:vAlign w:val="center"/>
          </w:tcPr>
          <w:p w14:paraId="76AE0E29" w14:textId="073BF1BF" w:rsidR="000262AA" w:rsidRPr="000262AA" w:rsidRDefault="000262AA" w:rsidP="000262AA">
            <w:pPr>
              <w:jc w:val="right"/>
              <w:rPr>
                <w:rFonts w:ascii="Arial" w:hAnsi="Arial" w:cs="Arial"/>
                <w:sz w:val="20"/>
                <w:szCs w:val="20"/>
              </w:rPr>
            </w:pPr>
            <w:r w:rsidRPr="000262AA">
              <w:rPr>
                <w:rFonts w:ascii="Arial" w:hAnsi="Arial" w:cs="Arial"/>
                <w:sz w:val="20"/>
                <w:szCs w:val="20"/>
              </w:rPr>
              <w:t>67.4</w:t>
            </w:r>
          </w:p>
        </w:tc>
        <w:tc>
          <w:tcPr>
            <w:tcW w:w="0" w:type="auto"/>
            <w:vAlign w:val="center"/>
          </w:tcPr>
          <w:p w14:paraId="0E6225D2" w14:textId="5BCF76A2" w:rsidR="000262AA" w:rsidRPr="000262AA" w:rsidRDefault="000262AA" w:rsidP="000262AA">
            <w:pPr>
              <w:jc w:val="right"/>
              <w:rPr>
                <w:rFonts w:ascii="Arial" w:hAnsi="Arial" w:cs="Arial"/>
                <w:sz w:val="20"/>
                <w:szCs w:val="20"/>
              </w:rPr>
            </w:pPr>
            <w:r w:rsidRPr="000262AA">
              <w:rPr>
                <w:rFonts w:ascii="Arial" w:hAnsi="Arial" w:cs="Arial"/>
                <w:sz w:val="20"/>
                <w:szCs w:val="20"/>
              </w:rPr>
              <w:t>13.0%</w:t>
            </w:r>
          </w:p>
        </w:tc>
      </w:tr>
      <w:tr w:rsidR="000262AA" w14:paraId="3260C57D" w14:textId="77777777" w:rsidTr="000262AA">
        <w:tc>
          <w:tcPr>
            <w:tcW w:w="1713" w:type="dxa"/>
            <w:vAlign w:val="center"/>
          </w:tcPr>
          <w:p w14:paraId="6522CF6C" w14:textId="77777777" w:rsidR="000262AA" w:rsidRPr="00E470E1" w:rsidRDefault="000262AA" w:rsidP="000262AA">
            <w:pPr>
              <w:keepNext/>
              <w:keepLines/>
              <w:rPr>
                <w:rFonts w:ascii="Arial" w:hAnsi="Arial" w:cs="Arial"/>
                <w:sz w:val="20"/>
                <w:szCs w:val="20"/>
              </w:rPr>
            </w:pPr>
            <w:r w:rsidRPr="00E470E1">
              <w:rPr>
                <w:rFonts w:ascii="Arial" w:hAnsi="Arial" w:cs="Arial"/>
                <w:sz w:val="20"/>
                <w:szCs w:val="20"/>
              </w:rPr>
              <w:t>Outside LA Basin</w:t>
            </w:r>
          </w:p>
        </w:tc>
        <w:tc>
          <w:tcPr>
            <w:tcW w:w="1128" w:type="dxa"/>
            <w:vAlign w:val="center"/>
          </w:tcPr>
          <w:p w14:paraId="037C5B66" w14:textId="0266AF6B" w:rsidR="000262AA" w:rsidRPr="000262AA" w:rsidRDefault="000262AA" w:rsidP="000262AA">
            <w:pPr>
              <w:jc w:val="right"/>
              <w:rPr>
                <w:rFonts w:ascii="Arial" w:hAnsi="Arial" w:cs="Arial"/>
                <w:sz w:val="20"/>
                <w:szCs w:val="20"/>
              </w:rPr>
            </w:pPr>
          </w:p>
        </w:tc>
        <w:tc>
          <w:tcPr>
            <w:tcW w:w="2017" w:type="dxa"/>
            <w:vAlign w:val="center"/>
          </w:tcPr>
          <w:p w14:paraId="54CB0084" w14:textId="67A00EDA" w:rsidR="000262AA" w:rsidRPr="000262AA" w:rsidRDefault="000262AA" w:rsidP="000262AA">
            <w:pPr>
              <w:jc w:val="right"/>
              <w:rPr>
                <w:rFonts w:ascii="Arial" w:hAnsi="Arial" w:cs="Arial"/>
                <w:sz w:val="20"/>
                <w:szCs w:val="20"/>
              </w:rPr>
            </w:pPr>
          </w:p>
        </w:tc>
        <w:tc>
          <w:tcPr>
            <w:tcW w:w="1549" w:type="dxa"/>
            <w:vAlign w:val="center"/>
          </w:tcPr>
          <w:p w14:paraId="0ADFA518" w14:textId="43B3E68A" w:rsidR="000262AA" w:rsidRPr="000262AA" w:rsidRDefault="000262AA" w:rsidP="000262AA">
            <w:pPr>
              <w:jc w:val="right"/>
              <w:rPr>
                <w:rFonts w:ascii="Arial" w:hAnsi="Arial" w:cs="Arial"/>
                <w:sz w:val="20"/>
                <w:szCs w:val="20"/>
              </w:rPr>
            </w:pPr>
          </w:p>
        </w:tc>
        <w:tc>
          <w:tcPr>
            <w:tcW w:w="1665" w:type="dxa"/>
            <w:vAlign w:val="center"/>
          </w:tcPr>
          <w:p w14:paraId="40CD34BA" w14:textId="3C73DB61" w:rsidR="000262AA" w:rsidRPr="000262AA" w:rsidRDefault="000262AA" w:rsidP="000262AA">
            <w:pPr>
              <w:jc w:val="right"/>
              <w:rPr>
                <w:rFonts w:ascii="Arial" w:hAnsi="Arial" w:cs="Arial"/>
                <w:sz w:val="20"/>
                <w:szCs w:val="20"/>
              </w:rPr>
            </w:pPr>
          </w:p>
        </w:tc>
        <w:tc>
          <w:tcPr>
            <w:tcW w:w="0" w:type="auto"/>
            <w:vAlign w:val="center"/>
          </w:tcPr>
          <w:p w14:paraId="1B6CA774" w14:textId="4DD34110" w:rsidR="000262AA" w:rsidRPr="000262AA" w:rsidRDefault="000262AA" w:rsidP="000262AA">
            <w:pPr>
              <w:jc w:val="right"/>
              <w:rPr>
                <w:rFonts w:ascii="Arial" w:hAnsi="Arial" w:cs="Arial"/>
                <w:sz w:val="20"/>
                <w:szCs w:val="20"/>
              </w:rPr>
            </w:pPr>
          </w:p>
        </w:tc>
      </w:tr>
      <w:tr w:rsidR="000262AA" w14:paraId="034BA486" w14:textId="77777777" w:rsidTr="000262AA">
        <w:tc>
          <w:tcPr>
            <w:tcW w:w="1713" w:type="dxa"/>
            <w:vAlign w:val="center"/>
          </w:tcPr>
          <w:p w14:paraId="458516AA" w14:textId="77777777" w:rsidR="000262AA" w:rsidRPr="00E470E1" w:rsidRDefault="000262AA" w:rsidP="000262AA">
            <w:pPr>
              <w:keepNext/>
              <w:keepLines/>
              <w:rPr>
                <w:rFonts w:ascii="Arial" w:hAnsi="Arial" w:cs="Arial"/>
                <w:sz w:val="20"/>
                <w:szCs w:val="20"/>
              </w:rPr>
            </w:pPr>
            <w:smartTag w:uri="urn:schemas-microsoft-com:office:smarttags" w:element="place">
              <w:smartTag w:uri="urn:schemas-microsoft-com:office:smarttags" w:element="City">
                <w:r w:rsidRPr="00E470E1">
                  <w:rPr>
                    <w:rFonts w:ascii="Arial" w:hAnsi="Arial" w:cs="Arial"/>
                    <w:sz w:val="20"/>
                    <w:szCs w:val="20"/>
                  </w:rPr>
                  <w:t>Ventura</w:t>
                </w:r>
              </w:smartTag>
            </w:smartTag>
          </w:p>
        </w:tc>
        <w:tc>
          <w:tcPr>
            <w:tcW w:w="1128" w:type="dxa"/>
            <w:vAlign w:val="center"/>
          </w:tcPr>
          <w:p w14:paraId="1DC351D3" w14:textId="446D0B31" w:rsidR="000262AA" w:rsidRPr="000262AA" w:rsidRDefault="000262AA" w:rsidP="000262AA">
            <w:pPr>
              <w:jc w:val="right"/>
              <w:rPr>
                <w:rFonts w:ascii="Arial" w:hAnsi="Arial" w:cs="Arial"/>
                <w:sz w:val="20"/>
                <w:szCs w:val="20"/>
              </w:rPr>
            </w:pPr>
          </w:p>
        </w:tc>
        <w:tc>
          <w:tcPr>
            <w:tcW w:w="2017" w:type="dxa"/>
            <w:vAlign w:val="center"/>
          </w:tcPr>
          <w:p w14:paraId="6926CBDD" w14:textId="2A70CCC9" w:rsidR="000262AA" w:rsidRPr="000262AA" w:rsidRDefault="000262AA" w:rsidP="000262AA">
            <w:pPr>
              <w:jc w:val="right"/>
              <w:rPr>
                <w:rFonts w:ascii="Arial" w:hAnsi="Arial" w:cs="Arial"/>
                <w:sz w:val="20"/>
                <w:szCs w:val="20"/>
              </w:rPr>
            </w:pPr>
          </w:p>
        </w:tc>
        <w:tc>
          <w:tcPr>
            <w:tcW w:w="1549" w:type="dxa"/>
            <w:vAlign w:val="center"/>
          </w:tcPr>
          <w:p w14:paraId="1067D0AE" w14:textId="40CD98EF" w:rsidR="000262AA" w:rsidRPr="000262AA" w:rsidRDefault="000262AA" w:rsidP="000262AA">
            <w:pPr>
              <w:jc w:val="right"/>
              <w:rPr>
                <w:rFonts w:ascii="Arial" w:hAnsi="Arial" w:cs="Arial"/>
                <w:sz w:val="20"/>
                <w:szCs w:val="20"/>
              </w:rPr>
            </w:pPr>
          </w:p>
        </w:tc>
        <w:tc>
          <w:tcPr>
            <w:tcW w:w="1665" w:type="dxa"/>
            <w:vAlign w:val="center"/>
          </w:tcPr>
          <w:p w14:paraId="79BD4C32" w14:textId="7C616E33" w:rsidR="000262AA" w:rsidRPr="000262AA" w:rsidRDefault="000262AA" w:rsidP="000262AA">
            <w:pPr>
              <w:jc w:val="right"/>
              <w:rPr>
                <w:rFonts w:ascii="Arial" w:hAnsi="Arial" w:cs="Arial"/>
                <w:sz w:val="20"/>
                <w:szCs w:val="20"/>
              </w:rPr>
            </w:pPr>
          </w:p>
        </w:tc>
        <w:tc>
          <w:tcPr>
            <w:tcW w:w="0" w:type="auto"/>
            <w:vAlign w:val="center"/>
          </w:tcPr>
          <w:p w14:paraId="6E2101B6" w14:textId="386456C4" w:rsidR="000262AA" w:rsidRPr="000262AA" w:rsidRDefault="000262AA" w:rsidP="000262AA">
            <w:pPr>
              <w:jc w:val="right"/>
              <w:rPr>
                <w:rFonts w:ascii="Arial" w:hAnsi="Arial" w:cs="Arial"/>
                <w:sz w:val="20"/>
                <w:szCs w:val="20"/>
              </w:rPr>
            </w:pPr>
          </w:p>
        </w:tc>
      </w:tr>
      <w:tr w:rsidR="000262AA" w14:paraId="5016753F" w14:textId="77777777" w:rsidTr="000262AA">
        <w:tc>
          <w:tcPr>
            <w:tcW w:w="1713" w:type="dxa"/>
            <w:vAlign w:val="center"/>
          </w:tcPr>
          <w:p w14:paraId="07F35078" w14:textId="77777777" w:rsidR="000262AA" w:rsidRPr="00670145" w:rsidRDefault="000262AA" w:rsidP="000262AA">
            <w:pPr>
              <w:keepNext/>
              <w:keepLines/>
              <w:rPr>
                <w:rFonts w:ascii="Arial" w:hAnsi="Arial" w:cs="Arial"/>
                <w:b/>
                <w:sz w:val="20"/>
                <w:szCs w:val="20"/>
              </w:rPr>
            </w:pPr>
            <w:r w:rsidRPr="00670145">
              <w:rPr>
                <w:rFonts w:ascii="Arial" w:hAnsi="Arial" w:cs="Arial"/>
                <w:b/>
                <w:sz w:val="20"/>
                <w:szCs w:val="20"/>
              </w:rPr>
              <w:t>Total</w:t>
            </w:r>
          </w:p>
        </w:tc>
        <w:tc>
          <w:tcPr>
            <w:tcW w:w="1128" w:type="dxa"/>
            <w:vAlign w:val="center"/>
          </w:tcPr>
          <w:p w14:paraId="1C62D062" w14:textId="4895E013" w:rsidR="000262AA" w:rsidRPr="000262AA" w:rsidRDefault="000262AA" w:rsidP="000262AA">
            <w:pPr>
              <w:jc w:val="right"/>
              <w:rPr>
                <w:rFonts w:ascii="Arial" w:hAnsi="Arial" w:cs="Arial"/>
                <w:b/>
                <w:sz w:val="20"/>
                <w:szCs w:val="20"/>
              </w:rPr>
            </w:pPr>
            <w:r w:rsidRPr="000262AA">
              <w:rPr>
                <w:rFonts w:ascii="Arial" w:hAnsi="Arial" w:cs="Arial"/>
                <w:b/>
                <w:sz w:val="20"/>
                <w:szCs w:val="20"/>
              </w:rPr>
              <w:t>944</w:t>
            </w:r>
          </w:p>
        </w:tc>
        <w:tc>
          <w:tcPr>
            <w:tcW w:w="2017" w:type="dxa"/>
            <w:vAlign w:val="center"/>
          </w:tcPr>
          <w:p w14:paraId="15E10055" w14:textId="0ADF7779" w:rsidR="000262AA" w:rsidRPr="000262AA" w:rsidRDefault="000262AA" w:rsidP="000262AA">
            <w:pPr>
              <w:jc w:val="right"/>
              <w:rPr>
                <w:rFonts w:ascii="Arial" w:hAnsi="Arial" w:cs="Arial"/>
                <w:b/>
                <w:sz w:val="20"/>
                <w:szCs w:val="20"/>
              </w:rPr>
            </w:pPr>
            <w:r w:rsidRPr="000262AA">
              <w:rPr>
                <w:rFonts w:ascii="Arial" w:hAnsi="Arial" w:cs="Arial"/>
                <w:b/>
                <w:sz w:val="20"/>
                <w:szCs w:val="20"/>
              </w:rPr>
              <w:t>813.6</w:t>
            </w:r>
          </w:p>
        </w:tc>
        <w:tc>
          <w:tcPr>
            <w:tcW w:w="1549" w:type="dxa"/>
            <w:vAlign w:val="center"/>
          </w:tcPr>
          <w:p w14:paraId="73D68512" w14:textId="5494D723" w:rsidR="000262AA" w:rsidRPr="000262AA" w:rsidRDefault="000262AA" w:rsidP="000262AA">
            <w:pPr>
              <w:jc w:val="right"/>
              <w:rPr>
                <w:rFonts w:ascii="Arial" w:hAnsi="Arial" w:cs="Arial"/>
                <w:b/>
                <w:sz w:val="20"/>
                <w:szCs w:val="20"/>
              </w:rPr>
            </w:pPr>
            <w:r w:rsidRPr="000262AA">
              <w:rPr>
                <w:rFonts w:ascii="Arial" w:hAnsi="Arial" w:cs="Arial"/>
                <w:b/>
                <w:sz w:val="20"/>
                <w:szCs w:val="20"/>
              </w:rPr>
              <w:t>706.9</w:t>
            </w:r>
          </w:p>
        </w:tc>
        <w:tc>
          <w:tcPr>
            <w:tcW w:w="1665" w:type="dxa"/>
            <w:vAlign w:val="center"/>
          </w:tcPr>
          <w:p w14:paraId="07BBF0FA" w14:textId="5435E7C2" w:rsidR="000262AA" w:rsidRPr="000262AA" w:rsidRDefault="000262AA" w:rsidP="000262AA">
            <w:pPr>
              <w:jc w:val="right"/>
              <w:rPr>
                <w:rFonts w:ascii="Arial" w:hAnsi="Arial" w:cs="Arial"/>
                <w:b/>
                <w:sz w:val="20"/>
                <w:szCs w:val="20"/>
              </w:rPr>
            </w:pPr>
            <w:r w:rsidRPr="000262AA">
              <w:rPr>
                <w:rFonts w:ascii="Arial" w:hAnsi="Arial" w:cs="Arial"/>
                <w:b/>
                <w:sz w:val="20"/>
                <w:szCs w:val="20"/>
              </w:rPr>
              <w:t>106.7</w:t>
            </w:r>
          </w:p>
        </w:tc>
        <w:tc>
          <w:tcPr>
            <w:tcW w:w="0" w:type="auto"/>
            <w:vAlign w:val="center"/>
          </w:tcPr>
          <w:p w14:paraId="50185234" w14:textId="767B019C" w:rsidR="000262AA" w:rsidRPr="000262AA" w:rsidRDefault="000262AA" w:rsidP="000262AA">
            <w:pPr>
              <w:jc w:val="right"/>
              <w:rPr>
                <w:rFonts w:ascii="Arial" w:hAnsi="Arial" w:cs="Arial"/>
                <w:b/>
                <w:sz w:val="20"/>
                <w:szCs w:val="20"/>
              </w:rPr>
            </w:pPr>
            <w:r w:rsidRPr="000262AA">
              <w:rPr>
                <w:rFonts w:ascii="Arial" w:hAnsi="Arial" w:cs="Arial"/>
                <w:b/>
                <w:sz w:val="20"/>
                <w:szCs w:val="20"/>
              </w:rPr>
              <w:t>13.1%</w:t>
            </w:r>
          </w:p>
        </w:tc>
      </w:tr>
      <w:tr w:rsidR="000262AA" w14:paraId="11A33E59" w14:textId="77777777" w:rsidTr="000262AA">
        <w:tc>
          <w:tcPr>
            <w:tcW w:w="1713" w:type="dxa"/>
            <w:vAlign w:val="center"/>
          </w:tcPr>
          <w:p w14:paraId="3E47765D" w14:textId="43D2CACB" w:rsidR="000262AA" w:rsidRPr="007C3DF5" w:rsidRDefault="000262AA" w:rsidP="000262AA">
            <w:pPr>
              <w:keepNext/>
              <w:keepLines/>
              <w:rPr>
                <w:rFonts w:ascii="Arial" w:hAnsi="Arial" w:cs="Arial"/>
                <w:sz w:val="20"/>
                <w:szCs w:val="20"/>
              </w:rPr>
            </w:pPr>
            <w:r w:rsidRPr="008A6AC6">
              <w:rPr>
                <w:rFonts w:ascii="Arial" w:hAnsi="Arial" w:cs="Arial"/>
                <w:sz w:val="20"/>
                <w:szCs w:val="20"/>
              </w:rPr>
              <w:t>South Orange County</w:t>
            </w:r>
          </w:p>
        </w:tc>
        <w:tc>
          <w:tcPr>
            <w:tcW w:w="1128" w:type="dxa"/>
            <w:vAlign w:val="center"/>
          </w:tcPr>
          <w:p w14:paraId="5694A6A6" w14:textId="7646051C" w:rsidR="000262AA" w:rsidRPr="000262AA" w:rsidRDefault="000262AA" w:rsidP="000262AA">
            <w:pPr>
              <w:jc w:val="right"/>
              <w:rPr>
                <w:rFonts w:ascii="Arial" w:hAnsi="Arial" w:cs="Arial"/>
                <w:sz w:val="20"/>
                <w:szCs w:val="20"/>
              </w:rPr>
            </w:pPr>
            <w:r w:rsidRPr="000262AA">
              <w:rPr>
                <w:rFonts w:ascii="Arial" w:hAnsi="Arial" w:cs="Arial"/>
                <w:sz w:val="20"/>
                <w:szCs w:val="20"/>
              </w:rPr>
              <w:t>198</w:t>
            </w:r>
          </w:p>
        </w:tc>
        <w:tc>
          <w:tcPr>
            <w:tcW w:w="2017" w:type="dxa"/>
            <w:vAlign w:val="center"/>
          </w:tcPr>
          <w:p w14:paraId="1FCA187B" w14:textId="46E47209" w:rsidR="000262AA" w:rsidRPr="000262AA" w:rsidRDefault="000262AA" w:rsidP="000262AA">
            <w:pPr>
              <w:jc w:val="right"/>
              <w:rPr>
                <w:rFonts w:ascii="Arial" w:hAnsi="Arial" w:cs="Arial"/>
                <w:sz w:val="20"/>
                <w:szCs w:val="20"/>
              </w:rPr>
            </w:pPr>
            <w:r w:rsidRPr="000262AA">
              <w:rPr>
                <w:rFonts w:ascii="Arial" w:hAnsi="Arial" w:cs="Arial"/>
                <w:sz w:val="20"/>
                <w:szCs w:val="20"/>
              </w:rPr>
              <w:t>149.0</w:t>
            </w:r>
          </w:p>
        </w:tc>
        <w:tc>
          <w:tcPr>
            <w:tcW w:w="1549" w:type="dxa"/>
            <w:vAlign w:val="center"/>
          </w:tcPr>
          <w:p w14:paraId="2719E8EC" w14:textId="681FA631" w:rsidR="000262AA" w:rsidRPr="000262AA" w:rsidRDefault="000262AA" w:rsidP="000262AA">
            <w:pPr>
              <w:jc w:val="right"/>
              <w:rPr>
                <w:rFonts w:ascii="Arial" w:hAnsi="Arial" w:cs="Arial"/>
                <w:sz w:val="20"/>
                <w:szCs w:val="20"/>
              </w:rPr>
            </w:pPr>
            <w:r w:rsidRPr="000262AA">
              <w:rPr>
                <w:rFonts w:ascii="Arial" w:hAnsi="Arial" w:cs="Arial"/>
                <w:sz w:val="20"/>
                <w:szCs w:val="20"/>
              </w:rPr>
              <w:t>97.0</w:t>
            </w:r>
          </w:p>
        </w:tc>
        <w:tc>
          <w:tcPr>
            <w:tcW w:w="1665" w:type="dxa"/>
            <w:vAlign w:val="center"/>
          </w:tcPr>
          <w:p w14:paraId="28096F17" w14:textId="6967C567" w:rsidR="000262AA" w:rsidRPr="000262AA" w:rsidRDefault="000262AA" w:rsidP="000262AA">
            <w:pPr>
              <w:jc w:val="right"/>
              <w:rPr>
                <w:rFonts w:ascii="Arial" w:hAnsi="Arial" w:cs="Arial"/>
                <w:sz w:val="20"/>
                <w:szCs w:val="20"/>
              </w:rPr>
            </w:pPr>
            <w:r w:rsidRPr="000262AA">
              <w:rPr>
                <w:rFonts w:ascii="Arial" w:hAnsi="Arial" w:cs="Arial"/>
                <w:sz w:val="20"/>
                <w:szCs w:val="20"/>
              </w:rPr>
              <w:t>52.0</w:t>
            </w:r>
          </w:p>
        </w:tc>
        <w:tc>
          <w:tcPr>
            <w:tcW w:w="0" w:type="auto"/>
            <w:vAlign w:val="center"/>
          </w:tcPr>
          <w:p w14:paraId="0CF79888" w14:textId="04B5BE45" w:rsidR="000262AA" w:rsidRPr="000262AA" w:rsidRDefault="000262AA" w:rsidP="000262AA">
            <w:pPr>
              <w:jc w:val="right"/>
              <w:rPr>
                <w:rFonts w:ascii="Arial" w:hAnsi="Arial" w:cs="Arial"/>
                <w:sz w:val="20"/>
                <w:szCs w:val="20"/>
              </w:rPr>
            </w:pPr>
            <w:r w:rsidRPr="000262AA">
              <w:rPr>
                <w:rFonts w:ascii="Arial" w:hAnsi="Arial" w:cs="Arial"/>
                <w:sz w:val="20"/>
                <w:szCs w:val="20"/>
              </w:rPr>
              <w:t>34.9%</w:t>
            </w:r>
          </w:p>
        </w:tc>
      </w:tr>
      <w:tr w:rsidR="000262AA" w14:paraId="1E114A39" w14:textId="77777777" w:rsidTr="000262AA">
        <w:tc>
          <w:tcPr>
            <w:tcW w:w="1713" w:type="dxa"/>
            <w:vAlign w:val="center"/>
          </w:tcPr>
          <w:p w14:paraId="78CC8F02" w14:textId="08BAB706" w:rsidR="000262AA" w:rsidRPr="007C3DF5" w:rsidRDefault="000262AA" w:rsidP="000262AA">
            <w:pPr>
              <w:keepNext/>
              <w:keepLines/>
              <w:rPr>
                <w:rFonts w:ascii="Arial" w:hAnsi="Arial" w:cs="Arial"/>
                <w:sz w:val="20"/>
                <w:szCs w:val="20"/>
              </w:rPr>
            </w:pPr>
            <w:r>
              <w:rPr>
                <w:rFonts w:ascii="Arial" w:hAnsi="Arial" w:cs="Arial"/>
                <w:sz w:val="20"/>
                <w:szCs w:val="20"/>
              </w:rPr>
              <w:t xml:space="preserve">South of </w:t>
            </w:r>
            <w:smartTag w:uri="urn:schemas-microsoft-com:office:smarttags" w:element="place">
              <w:smartTag w:uri="urn:schemas-microsoft-com:office:smarttags" w:element="City">
                <w:r>
                  <w:rPr>
                    <w:rFonts w:ascii="Arial" w:hAnsi="Arial" w:cs="Arial"/>
                    <w:sz w:val="20"/>
                    <w:szCs w:val="20"/>
                  </w:rPr>
                  <w:t>Lugo</w:t>
                </w:r>
              </w:smartTag>
            </w:smartTag>
          </w:p>
        </w:tc>
        <w:tc>
          <w:tcPr>
            <w:tcW w:w="1128" w:type="dxa"/>
            <w:vAlign w:val="center"/>
          </w:tcPr>
          <w:p w14:paraId="5A972C4C" w14:textId="7DBB4FC5" w:rsidR="000262AA" w:rsidRPr="000262AA" w:rsidRDefault="000262AA" w:rsidP="000262AA">
            <w:pPr>
              <w:jc w:val="right"/>
              <w:rPr>
                <w:rFonts w:ascii="Arial" w:hAnsi="Arial" w:cs="Arial"/>
                <w:sz w:val="20"/>
                <w:szCs w:val="20"/>
              </w:rPr>
            </w:pPr>
            <w:r w:rsidRPr="000262AA">
              <w:rPr>
                <w:rFonts w:ascii="Arial" w:hAnsi="Arial" w:cs="Arial"/>
                <w:sz w:val="20"/>
                <w:szCs w:val="20"/>
              </w:rPr>
              <w:t>284</w:t>
            </w:r>
          </w:p>
        </w:tc>
        <w:tc>
          <w:tcPr>
            <w:tcW w:w="2017" w:type="dxa"/>
            <w:vAlign w:val="center"/>
          </w:tcPr>
          <w:p w14:paraId="748B4117" w14:textId="3D3A1E3E" w:rsidR="000262AA" w:rsidRPr="000262AA" w:rsidRDefault="000262AA" w:rsidP="000262AA">
            <w:pPr>
              <w:jc w:val="right"/>
              <w:rPr>
                <w:rFonts w:ascii="Arial" w:hAnsi="Arial" w:cs="Arial"/>
                <w:sz w:val="20"/>
                <w:szCs w:val="20"/>
              </w:rPr>
            </w:pPr>
            <w:r w:rsidRPr="000262AA">
              <w:rPr>
                <w:rFonts w:ascii="Arial" w:hAnsi="Arial" w:cs="Arial"/>
                <w:sz w:val="20"/>
                <w:szCs w:val="20"/>
              </w:rPr>
              <w:t>160.4</w:t>
            </w:r>
          </w:p>
        </w:tc>
        <w:tc>
          <w:tcPr>
            <w:tcW w:w="1549" w:type="dxa"/>
            <w:vAlign w:val="center"/>
          </w:tcPr>
          <w:p w14:paraId="1D4CF543" w14:textId="1837041B" w:rsidR="000262AA" w:rsidRPr="000262AA" w:rsidRDefault="000262AA" w:rsidP="000262AA">
            <w:pPr>
              <w:jc w:val="right"/>
              <w:rPr>
                <w:rFonts w:ascii="Arial" w:hAnsi="Arial" w:cs="Arial"/>
                <w:sz w:val="20"/>
                <w:szCs w:val="20"/>
              </w:rPr>
            </w:pPr>
            <w:r w:rsidRPr="000262AA">
              <w:rPr>
                <w:rFonts w:ascii="Arial" w:hAnsi="Arial" w:cs="Arial"/>
                <w:sz w:val="20"/>
                <w:szCs w:val="20"/>
              </w:rPr>
              <w:t>158.0</w:t>
            </w:r>
          </w:p>
        </w:tc>
        <w:tc>
          <w:tcPr>
            <w:tcW w:w="1665" w:type="dxa"/>
            <w:vAlign w:val="center"/>
          </w:tcPr>
          <w:p w14:paraId="2C69C004" w14:textId="0CB56647" w:rsidR="000262AA" w:rsidRPr="000262AA" w:rsidRDefault="000262AA" w:rsidP="000262AA">
            <w:pPr>
              <w:jc w:val="right"/>
              <w:rPr>
                <w:rFonts w:ascii="Arial" w:hAnsi="Arial" w:cs="Arial"/>
                <w:sz w:val="20"/>
                <w:szCs w:val="20"/>
              </w:rPr>
            </w:pPr>
            <w:r w:rsidRPr="000262AA">
              <w:rPr>
                <w:rFonts w:ascii="Arial" w:hAnsi="Arial" w:cs="Arial"/>
                <w:sz w:val="20"/>
                <w:szCs w:val="20"/>
              </w:rPr>
              <w:t>2.4</w:t>
            </w:r>
          </w:p>
        </w:tc>
        <w:tc>
          <w:tcPr>
            <w:tcW w:w="0" w:type="auto"/>
            <w:vAlign w:val="center"/>
          </w:tcPr>
          <w:p w14:paraId="6FF82787" w14:textId="6A1FDAC5" w:rsidR="000262AA" w:rsidRPr="000262AA" w:rsidRDefault="000262AA" w:rsidP="000262AA">
            <w:pPr>
              <w:jc w:val="right"/>
              <w:rPr>
                <w:rFonts w:ascii="Arial" w:hAnsi="Arial" w:cs="Arial"/>
                <w:sz w:val="20"/>
                <w:szCs w:val="20"/>
              </w:rPr>
            </w:pPr>
            <w:r w:rsidRPr="000262AA">
              <w:rPr>
                <w:rFonts w:ascii="Arial" w:hAnsi="Arial" w:cs="Arial"/>
                <w:sz w:val="20"/>
                <w:szCs w:val="20"/>
              </w:rPr>
              <w:t>1.5%</w:t>
            </w:r>
          </w:p>
        </w:tc>
      </w:tr>
      <w:tr w:rsidR="000262AA" w14:paraId="2FA3222C" w14:textId="77777777" w:rsidTr="000262AA">
        <w:tc>
          <w:tcPr>
            <w:tcW w:w="1713" w:type="dxa"/>
            <w:vAlign w:val="center"/>
          </w:tcPr>
          <w:p w14:paraId="34B5AB77" w14:textId="1C8EEBA6" w:rsidR="000262AA" w:rsidRDefault="000262AA" w:rsidP="000262AA">
            <w:pPr>
              <w:keepNext/>
              <w:keepLines/>
              <w:rPr>
                <w:rFonts w:ascii="Arial" w:hAnsi="Arial" w:cs="Arial"/>
                <w:sz w:val="20"/>
                <w:szCs w:val="20"/>
              </w:rPr>
            </w:pPr>
            <w:r>
              <w:rPr>
                <w:rFonts w:ascii="Arial" w:hAnsi="Arial" w:cs="Arial"/>
                <w:sz w:val="20"/>
                <w:szCs w:val="20"/>
              </w:rPr>
              <w:t>Rest of System</w:t>
            </w:r>
          </w:p>
        </w:tc>
        <w:tc>
          <w:tcPr>
            <w:tcW w:w="1128" w:type="dxa"/>
            <w:vAlign w:val="center"/>
          </w:tcPr>
          <w:p w14:paraId="387FCF45" w14:textId="456E9C53" w:rsidR="000262AA" w:rsidRPr="000262AA" w:rsidRDefault="000262AA" w:rsidP="000262AA">
            <w:pPr>
              <w:jc w:val="right"/>
              <w:rPr>
                <w:rFonts w:ascii="Arial" w:hAnsi="Arial" w:cs="Arial"/>
                <w:sz w:val="20"/>
                <w:szCs w:val="20"/>
              </w:rPr>
            </w:pPr>
            <w:r w:rsidRPr="000262AA">
              <w:rPr>
                <w:rFonts w:ascii="Arial" w:hAnsi="Arial" w:cs="Arial"/>
                <w:sz w:val="20"/>
                <w:szCs w:val="20"/>
              </w:rPr>
              <w:t>462</w:t>
            </w:r>
          </w:p>
        </w:tc>
        <w:tc>
          <w:tcPr>
            <w:tcW w:w="2017" w:type="dxa"/>
            <w:vAlign w:val="center"/>
          </w:tcPr>
          <w:p w14:paraId="1A3F5825" w14:textId="47594AA2" w:rsidR="000262AA" w:rsidRPr="000262AA" w:rsidRDefault="000262AA" w:rsidP="000262AA">
            <w:pPr>
              <w:jc w:val="right"/>
              <w:rPr>
                <w:rFonts w:ascii="Arial" w:hAnsi="Arial" w:cs="Arial"/>
                <w:sz w:val="20"/>
                <w:szCs w:val="20"/>
              </w:rPr>
            </w:pPr>
            <w:r w:rsidRPr="000262AA">
              <w:rPr>
                <w:rFonts w:ascii="Arial" w:hAnsi="Arial" w:cs="Arial"/>
                <w:sz w:val="20"/>
                <w:szCs w:val="20"/>
              </w:rPr>
              <w:t>504.2</w:t>
            </w:r>
          </w:p>
        </w:tc>
        <w:tc>
          <w:tcPr>
            <w:tcW w:w="1549" w:type="dxa"/>
            <w:vAlign w:val="center"/>
          </w:tcPr>
          <w:p w14:paraId="0B254143" w14:textId="1FF05FAF" w:rsidR="000262AA" w:rsidRPr="000262AA" w:rsidRDefault="000262AA" w:rsidP="000262AA">
            <w:pPr>
              <w:jc w:val="right"/>
              <w:rPr>
                <w:rFonts w:ascii="Arial" w:hAnsi="Arial" w:cs="Arial"/>
                <w:sz w:val="20"/>
                <w:szCs w:val="20"/>
              </w:rPr>
            </w:pPr>
            <w:r w:rsidRPr="000262AA">
              <w:rPr>
                <w:rFonts w:ascii="Arial" w:hAnsi="Arial" w:cs="Arial"/>
                <w:sz w:val="20"/>
                <w:szCs w:val="20"/>
              </w:rPr>
              <w:t>451.8</w:t>
            </w:r>
          </w:p>
        </w:tc>
        <w:tc>
          <w:tcPr>
            <w:tcW w:w="1665" w:type="dxa"/>
            <w:vAlign w:val="center"/>
          </w:tcPr>
          <w:p w14:paraId="2F455533" w14:textId="2C665B91" w:rsidR="000262AA" w:rsidRPr="000262AA" w:rsidRDefault="000262AA" w:rsidP="000262AA">
            <w:pPr>
              <w:jc w:val="right"/>
              <w:rPr>
                <w:rFonts w:ascii="Arial" w:hAnsi="Arial" w:cs="Arial"/>
                <w:sz w:val="20"/>
                <w:szCs w:val="20"/>
              </w:rPr>
            </w:pPr>
            <w:r w:rsidRPr="000262AA">
              <w:rPr>
                <w:rFonts w:ascii="Arial" w:hAnsi="Arial" w:cs="Arial"/>
                <w:sz w:val="20"/>
                <w:szCs w:val="20"/>
              </w:rPr>
              <w:t>52.4</w:t>
            </w:r>
          </w:p>
        </w:tc>
        <w:tc>
          <w:tcPr>
            <w:tcW w:w="0" w:type="auto"/>
            <w:vAlign w:val="center"/>
          </w:tcPr>
          <w:p w14:paraId="11E23F4D" w14:textId="678BBAC8" w:rsidR="000262AA" w:rsidRPr="000262AA" w:rsidRDefault="000262AA" w:rsidP="000262AA">
            <w:pPr>
              <w:jc w:val="right"/>
              <w:rPr>
                <w:rFonts w:ascii="Arial" w:hAnsi="Arial" w:cs="Arial"/>
                <w:sz w:val="20"/>
                <w:szCs w:val="20"/>
              </w:rPr>
            </w:pPr>
            <w:r w:rsidRPr="000262AA">
              <w:rPr>
                <w:rFonts w:ascii="Arial" w:hAnsi="Arial" w:cs="Arial"/>
                <w:sz w:val="20"/>
                <w:szCs w:val="20"/>
              </w:rPr>
              <w:t>10.4%</w:t>
            </w:r>
          </w:p>
        </w:tc>
      </w:tr>
    </w:tbl>
    <w:p w14:paraId="089CE25C" w14:textId="77777777" w:rsidR="00321E09" w:rsidRDefault="00321E09" w:rsidP="00DF6FCB">
      <w:pPr>
        <w:rPr>
          <w:b/>
        </w:rPr>
      </w:pPr>
    </w:p>
    <w:p w14:paraId="05A48931" w14:textId="77777777" w:rsidR="00321E09" w:rsidRPr="00146E50" w:rsidRDefault="00321E09" w:rsidP="00146E50">
      <w:pPr>
        <w:pStyle w:val="Heading3"/>
        <w:rPr>
          <w:sz w:val="22"/>
          <w:szCs w:val="22"/>
        </w:rPr>
      </w:pPr>
      <w:bookmarkStart w:id="117" w:name="_Toc415761829"/>
      <w:r>
        <w:rPr>
          <w:sz w:val="22"/>
          <w:szCs w:val="22"/>
        </w:rPr>
        <w:t xml:space="preserve">4.2.2 </w:t>
      </w:r>
      <w:r w:rsidRPr="00146E50">
        <w:rPr>
          <w:sz w:val="22"/>
          <w:szCs w:val="22"/>
        </w:rPr>
        <w:t>Hourly Load Impacts</w:t>
      </w:r>
      <w:bookmarkEnd w:id="117"/>
      <w:r w:rsidRPr="00146E50">
        <w:rPr>
          <w:sz w:val="22"/>
          <w:szCs w:val="22"/>
        </w:rPr>
        <w:t xml:space="preserve"> </w:t>
      </w:r>
    </w:p>
    <w:p w14:paraId="142FBEE5" w14:textId="131F3DB2" w:rsidR="00321E09" w:rsidRDefault="00321E09" w:rsidP="00C70F01">
      <w:r>
        <w:t>Table 4.</w:t>
      </w:r>
      <w:r w:rsidR="00B3661A">
        <w:t>10</w:t>
      </w:r>
      <w:r>
        <w:t xml:space="preserve"> presents hourly load impacts at the program level for the average DBP event in the manner required by the Protocols. </w:t>
      </w:r>
      <w:r w:rsidR="00E03F4A">
        <w:t>The hourly load impact on the average event day ranges from</w:t>
      </w:r>
      <w:r>
        <w:t xml:space="preserve"> </w:t>
      </w:r>
      <w:r w:rsidR="000262AA">
        <w:t>93</w:t>
      </w:r>
      <w:r w:rsidR="00D21F53">
        <w:t xml:space="preserve"> </w:t>
      </w:r>
      <w:r>
        <w:t xml:space="preserve">MW to </w:t>
      </w:r>
      <w:r w:rsidR="00313AAF">
        <w:t>1</w:t>
      </w:r>
      <w:r w:rsidR="000262AA">
        <w:t>12</w:t>
      </w:r>
      <w:r>
        <w:t xml:space="preserve"> MW. </w:t>
      </w:r>
    </w:p>
    <w:p w14:paraId="06BB2379" w14:textId="77777777" w:rsidR="00321E09" w:rsidRDefault="00321E09" w:rsidP="00747BEF">
      <w:r>
        <w:t xml:space="preserve"> </w:t>
      </w:r>
    </w:p>
    <w:p w14:paraId="544C88FC" w14:textId="77777777" w:rsidR="00321E09" w:rsidRPr="00852320" w:rsidRDefault="00321E09" w:rsidP="00B3661A">
      <w:pPr>
        <w:pStyle w:val="TableCaption"/>
        <w:keepNext/>
        <w:keepLines/>
      </w:pPr>
      <w:bookmarkStart w:id="118" w:name="_Toc415761883"/>
      <w:r w:rsidRPr="00852320">
        <w:lastRenderedPageBreak/>
        <w:t>Table 4.</w:t>
      </w:r>
      <w:r w:rsidR="006C0BBF" w:rsidRPr="00852320">
        <w:t>10</w:t>
      </w:r>
      <w:r w:rsidRPr="00852320">
        <w:t xml:space="preserve">: DBP Hourly Load Impacts for </w:t>
      </w:r>
      <w:r w:rsidR="000C3E81" w:rsidRPr="00852320">
        <w:t xml:space="preserve">the </w:t>
      </w:r>
      <w:r w:rsidRPr="00852320">
        <w:t xml:space="preserve">Average Event Day, </w:t>
      </w:r>
      <w:r w:rsidRPr="00852320">
        <w:rPr>
          <w:i/>
        </w:rPr>
        <w:t>SCE</w:t>
      </w:r>
      <w:bookmarkEnd w:id="118"/>
    </w:p>
    <w:p w14:paraId="173015F3" w14:textId="5353219C" w:rsidR="00321E09" w:rsidRPr="00732632" w:rsidRDefault="00BC6BCA" w:rsidP="003D2DE7">
      <w:pPr>
        <w:keepNext/>
        <w:keepLines/>
      </w:pPr>
      <w:r w:rsidRPr="00BC6BCA">
        <w:rPr>
          <w:noProof/>
        </w:rPr>
        <w:drawing>
          <wp:inline distT="0" distB="0" distL="0" distR="0" wp14:anchorId="645C0500" wp14:editId="3861321A">
            <wp:extent cx="5486400" cy="451509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4515095"/>
                    </a:xfrm>
                    <a:prstGeom prst="rect">
                      <a:avLst/>
                    </a:prstGeom>
                    <a:noFill/>
                    <a:ln>
                      <a:noFill/>
                    </a:ln>
                  </pic:spPr>
                </pic:pic>
              </a:graphicData>
            </a:graphic>
          </wp:inline>
        </w:drawing>
      </w:r>
    </w:p>
    <w:p w14:paraId="2AC6BC0F" w14:textId="77777777" w:rsidR="00321E09" w:rsidRDefault="00321E09" w:rsidP="00C70F01"/>
    <w:p w14:paraId="25294871" w14:textId="55EFCD9C" w:rsidR="00321E09" w:rsidRDefault="00321E09" w:rsidP="00C70F01">
      <w:r>
        <w:t>Figure 4.</w:t>
      </w:r>
      <w:r w:rsidR="00C23BD6">
        <w:t>3</w:t>
      </w:r>
      <w:r>
        <w:t xml:space="preserve"> illustrates the hourly reference load</w:t>
      </w:r>
      <w:r w:rsidR="00414097">
        <w:t xml:space="preserve">, </w:t>
      </w:r>
      <w:r>
        <w:t>observed load</w:t>
      </w:r>
      <w:r w:rsidR="00414097">
        <w:t>, and load impact</w:t>
      </w:r>
      <w:r>
        <w:t xml:space="preserve"> for the average DBP event.</w:t>
      </w:r>
      <w:r w:rsidR="00414097">
        <w:t xml:space="preserve"> The scale for the hourly load impacts is shown on the right-hand side of the figure.</w:t>
      </w:r>
      <w:r>
        <w:t xml:space="preserve"> Figure 4.</w:t>
      </w:r>
      <w:r w:rsidR="00C23BD6">
        <w:t>4</w:t>
      </w:r>
      <w:r>
        <w:t xml:space="preserve"> shows the variability of estimated load impacts across events. </w:t>
      </w:r>
    </w:p>
    <w:p w14:paraId="3BCCEB58" w14:textId="77777777" w:rsidR="00321E09" w:rsidRPr="00852320" w:rsidRDefault="00321E09" w:rsidP="0019201F">
      <w:pPr>
        <w:pStyle w:val="FigureCaption"/>
        <w:keepNext/>
        <w:keepLines/>
      </w:pPr>
      <w:r>
        <w:br w:type="page"/>
      </w:r>
      <w:bookmarkStart w:id="119" w:name="_Toc415761915"/>
      <w:r w:rsidRPr="00852320">
        <w:lastRenderedPageBreak/>
        <w:t>Figure 4.</w:t>
      </w:r>
      <w:r w:rsidR="00C23BD6" w:rsidRPr="00852320">
        <w:t>3</w:t>
      </w:r>
      <w:r w:rsidRPr="00852320">
        <w:t>: DBP Load Impacts</w:t>
      </w:r>
      <w:r w:rsidR="003A3AC6">
        <w:t xml:space="preserve"> for the Average Event Day</w:t>
      </w:r>
      <w:r w:rsidR="00E32794" w:rsidRPr="00852320">
        <w:t xml:space="preserve">, </w:t>
      </w:r>
      <w:r w:rsidRPr="00852320">
        <w:rPr>
          <w:i/>
        </w:rPr>
        <w:t>SCE</w:t>
      </w:r>
      <w:bookmarkEnd w:id="119"/>
    </w:p>
    <w:p w14:paraId="3F6D7612" w14:textId="047A908A" w:rsidR="00321E09" w:rsidRPr="00B846C5" w:rsidRDefault="00EE3732" w:rsidP="0019201F">
      <w:pPr>
        <w:keepNext/>
        <w:keepLines/>
        <w:jc w:val="center"/>
      </w:pPr>
      <w:r>
        <w:rPr>
          <w:noProof/>
        </w:rPr>
        <w:drawing>
          <wp:inline distT="0" distB="0" distL="0" distR="0" wp14:anchorId="6D07B0C8" wp14:editId="11120F3C">
            <wp:extent cx="5486400" cy="39814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55767FA" w14:textId="77777777" w:rsidR="00321E09" w:rsidRDefault="00321E09" w:rsidP="00C70F01"/>
    <w:p w14:paraId="653CE10C" w14:textId="77777777" w:rsidR="00321E09" w:rsidRPr="00852320" w:rsidRDefault="00321E09" w:rsidP="0019201F">
      <w:pPr>
        <w:pStyle w:val="FigureCaption"/>
        <w:keepNext/>
        <w:keepLines/>
      </w:pPr>
      <w:bookmarkStart w:id="120" w:name="_Toc415761916"/>
      <w:r w:rsidRPr="00852320">
        <w:lastRenderedPageBreak/>
        <w:t>Figure 4.</w:t>
      </w:r>
      <w:r w:rsidR="00C23BD6" w:rsidRPr="00852320">
        <w:t>4</w:t>
      </w:r>
      <w:r w:rsidRPr="00852320">
        <w:t>: Hourly Load Impacts by Event</w:t>
      </w:r>
      <w:r w:rsidR="00E32794" w:rsidRPr="00852320">
        <w:t xml:space="preserve">, </w:t>
      </w:r>
      <w:r w:rsidRPr="00852320">
        <w:rPr>
          <w:i/>
        </w:rPr>
        <w:t>SCE DBP</w:t>
      </w:r>
      <w:bookmarkEnd w:id="120"/>
    </w:p>
    <w:p w14:paraId="6B927388" w14:textId="2344AA24" w:rsidR="00321E09" w:rsidRPr="00B846C5" w:rsidRDefault="00EE3732" w:rsidP="0019201F">
      <w:pPr>
        <w:keepNext/>
        <w:keepLines/>
        <w:jc w:val="center"/>
      </w:pPr>
      <w:r>
        <w:rPr>
          <w:noProof/>
        </w:rPr>
        <w:drawing>
          <wp:inline distT="0" distB="0" distL="0" distR="0" wp14:anchorId="1C3FF561" wp14:editId="427F22F9">
            <wp:extent cx="5486400" cy="39814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C671101" w14:textId="77777777" w:rsidR="00205D5C" w:rsidRDefault="00205D5C" w:rsidP="00205D5C">
      <w:pPr>
        <w:pStyle w:val="Heading2"/>
      </w:pPr>
      <w:bookmarkStart w:id="121" w:name="_Toc415761830"/>
      <w:r w:rsidRPr="00CE31EA">
        <w:t>4.3 SDG&amp;E Load Impacts</w:t>
      </w:r>
      <w:bookmarkEnd w:id="121"/>
    </w:p>
    <w:p w14:paraId="2403E794" w14:textId="77777777" w:rsidR="00C64709" w:rsidRDefault="00C64709" w:rsidP="00C64709"/>
    <w:p w14:paraId="44D7DB3A" w14:textId="77777777" w:rsidR="00C64709" w:rsidRPr="00146E50" w:rsidRDefault="00C64709" w:rsidP="00C64709">
      <w:pPr>
        <w:pStyle w:val="Heading3"/>
        <w:rPr>
          <w:sz w:val="22"/>
          <w:szCs w:val="22"/>
        </w:rPr>
      </w:pPr>
      <w:bookmarkStart w:id="122" w:name="_Toc351386684"/>
      <w:bookmarkStart w:id="123" w:name="_Toc383597927"/>
      <w:bookmarkStart w:id="124" w:name="_Toc415761831"/>
      <w:r>
        <w:rPr>
          <w:sz w:val="22"/>
          <w:szCs w:val="22"/>
        </w:rPr>
        <w:t xml:space="preserve">4.3.2 </w:t>
      </w:r>
      <w:r w:rsidRPr="00146E50">
        <w:rPr>
          <w:sz w:val="22"/>
          <w:szCs w:val="22"/>
        </w:rPr>
        <w:t>Hourly Load Impacts</w:t>
      </w:r>
      <w:bookmarkEnd w:id="122"/>
      <w:bookmarkEnd w:id="123"/>
      <w:bookmarkEnd w:id="124"/>
      <w:r w:rsidRPr="00146E50">
        <w:rPr>
          <w:sz w:val="22"/>
          <w:szCs w:val="22"/>
        </w:rPr>
        <w:t xml:space="preserve"> </w:t>
      </w:r>
    </w:p>
    <w:p w14:paraId="28021E55" w14:textId="09DA8E61" w:rsidR="00C64709" w:rsidRDefault="00C64709" w:rsidP="00C64709">
      <w:r>
        <w:t xml:space="preserve">Recall that SDG&amp;E has two DBP programs, each of which consists of </w:t>
      </w:r>
      <w:r w:rsidR="004F5C7C">
        <w:t xml:space="preserve">a small number of </w:t>
      </w:r>
      <w:r>
        <w:t xml:space="preserve">service accounts </w:t>
      </w:r>
    </w:p>
    <w:p w14:paraId="745269AF" w14:textId="77777777" w:rsidR="00C64709" w:rsidRDefault="00C64709" w:rsidP="00C64709">
      <w:r>
        <w:t xml:space="preserve"> </w:t>
      </w:r>
    </w:p>
    <w:p w14:paraId="18AD515E" w14:textId="5E57043B" w:rsidR="00C64709" w:rsidRPr="008B552C" w:rsidRDefault="00C64709" w:rsidP="00C64709">
      <w:pPr>
        <w:pStyle w:val="TableCaption"/>
        <w:keepNext/>
        <w:keepLines/>
      </w:pPr>
      <w:bookmarkStart w:id="125" w:name="_Toc351386737"/>
      <w:bookmarkStart w:id="126" w:name="_Toc383597995"/>
      <w:bookmarkStart w:id="127" w:name="_Toc415761884"/>
      <w:r w:rsidRPr="008B552C">
        <w:t xml:space="preserve">Table 4.13: DBP Hourly Load Impacts for the </w:t>
      </w:r>
      <w:r>
        <w:t xml:space="preserve">September </w:t>
      </w:r>
      <w:r w:rsidR="00885A46">
        <w:t>16</w:t>
      </w:r>
      <w:r>
        <w:t>th</w:t>
      </w:r>
      <w:r w:rsidRPr="008B552C">
        <w:t xml:space="preserve"> Event Day, </w:t>
      </w:r>
      <w:r w:rsidRPr="008B552C">
        <w:rPr>
          <w:i/>
        </w:rPr>
        <w:t>SDG&amp;E</w:t>
      </w:r>
      <w:bookmarkEnd w:id="125"/>
      <w:r>
        <w:rPr>
          <w:i/>
        </w:rPr>
        <w:t xml:space="preserve"> DO</w:t>
      </w:r>
      <w:bookmarkEnd w:id="126"/>
      <w:bookmarkEnd w:id="127"/>
    </w:p>
    <w:p w14:paraId="4C17411D" w14:textId="117619B6" w:rsidR="00C64709" w:rsidRPr="00B846C5" w:rsidRDefault="00E41C84" w:rsidP="00E41C84">
      <w:pPr>
        <w:keepNext/>
        <w:keepLines/>
        <w:jc w:val="center"/>
      </w:pPr>
      <w:r w:rsidRPr="005D4700">
        <w:t>These results have been removed due to confidentiality concerns.</w:t>
      </w:r>
    </w:p>
    <w:p w14:paraId="3329D7B1" w14:textId="77777777" w:rsidR="00C64709" w:rsidRDefault="00C64709" w:rsidP="00C64709"/>
    <w:p w14:paraId="48EA291D" w14:textId="26D456FD" w:rsidR="00C64709" w:rsidRDefault="00C64709" w:rsidP="00C64709"/>
    <w:p w14:paraId="5A380EFB" w14:textId="45BB4C85" w:rsidR="00C64709" w:rsidRPr="008B552C" w:rsidRDefault="00C64709" w:rsidP="00C64709">
      <w:pPr>
        <w:pStyle w:val="TableCaption"/>
        <w:keepNext/>
        <w:keepLines/>
      </w:pPr>
      <w:bookmarkStart w:id="128" w:name="_Toc383597996"/>
      <w:bookmarkStart w:id="129" w:name="_Toc415761885"/>
      <w:r w:rsidRPr="008B552C">
        <w:t>Table 4.1</w:t>
      </w:r>
      <w:r>
        <w:t>4</w:t>
      </w:r>
      <w:r w:rsidRPr="008B552C">
        <w:t xml:space="preserve">: DBP Hourly Load Impacts for the </w:t>
      </w:r>
      <w:r w:rsidR="00AC571F">
        <w:t>February 7</w:t>
      </w:r>
      <w:r>
        <w:t>th</w:t>
      </w:r>
      <w:r w:rsidRPr="008B552C">
        <w:t xml:space="preserve"> Event Day, </w:t>
      </w:r>
      <w:r w:rsidRPr="008B552C">
        <w:rPr>
          <w:i/>
        </w:rPr>
        <w:t>SDG&amp;E</w:t>
      </w:r>
      <w:r>
        <w:rPr>
          <w:i/>
        </w:rPr>
        <w:t xml:space="preserve"> DA</w:t>
      </w:r>
      <w:bookmarkEnd w:id="128"/>
      <w:bookmarkEnd w:id="129"/>
    </w:p>
    <w:p w14:paraId="33A39E08" w14:textId="76829B3B" w:rsidR="00C64709" w:rsidRDefault="00E41C84" w:rsidP="00E41C84">
      <w:pPr>
        <w:jc w:val="center"/>
      </w:pPr>
      <w:r w:rsidRPr="005D4700">
        <w:t>These results have been removed due to confidentiality concerns.</w:t>
      </w:r>
    </w:p>
    <w:p w14:paraId="26F2737F" w14:textId="77777777" w:rsidR="00C64709" w:rsidRDefault="00C64709" w:rsidP="00C64709"/>
    <w:p w14:paraId="3E4599C4" w14:textId="0370823B" w:rsidR="00C64709" w:rsidRDefault="00C64709" w:rsidP="00C64709">
      <w:r>
        <w:t xml:space="preserve">Figures 4.5 and 4.6 illustrate the hourly reference load, observed load, and load impact for the </w:t>
      </w:r>
      <w:r w:rsidR="009D178E">
        <w:t xml:space="preserve">most responsive </w:t>
      </w:r>
      <w:r>
        <w:t xml:space="preserve">DO and DA DBP event days. The scale for the load impacts is on the right-hand side of the figure. </w:t>
      </w:r>
    </w:p>
    <w:p w14:paraId="0F28CAC0" w14:textId="254C15ED" w:rsidR="00C64709" w:rsidRPr="0097115E" w:rsidRDefault="00C64709" w:rsidP="00C64709">
      <w:pPr>
        <w:pStyle w:val="FigureCaption"/>
      </w:pPr>
      <w:r>
        <w:br w:type="page"/>
      </w:r>
      <w:bookmarkStart w:id="130" w:name="_Toc351386770"/>
      <w:bookmarkStart w:id="131" w:name="_Toc383598042"/>
      <w:bookmarkStart w:id="132" w:name="_Toc415761917"/>
      <w:r w:rsidRPr="0097115E">
        <w:lastRenderedPageBreak/>
        <w:t xml:space="preserve">Figure 4.5: DBP September </w:t>
      </w:r>
      <w:r w:rsidR="009D178E">
        <w:t>16</w:t>
      </w:r>
      <w:r w:rsidR="00BD1EB5">
        <w:t>, 2014</w:t>
      </w:r>
      <w:r w:rsidRPr="0097115E">
        <w:t xml:space="preserve"> Load Impacts, </w:t>
      </w:r>
      <w:r w:rsidRPr="0097115E">
        <w:rPr>
          <w:i/>
        </w:rPr>
        <w:t>SDG&amp;E</w:t>
      </w:r>
      <w:bookmarkEnd w:id="130"/>
      <w:r w:rsidRPr="0097115E">
        <w:rPr>
          <w:i/>
        </w:rPr>
        <w:t xml:space="preserve"> DO</w:t>
      </w:r>
      <w:bookmarkEnd w:id="131"/>
      <w:bookmarkEnd w:id="132"/>
    </w:p>
    <w:p w14:paraId="2AF6D35C" w14:textId="4C0AA335" w:rsidR="00C64709" w:rsidRPr="00B846C5" w:rsidRDefault="00E41C84" w:rsidP="00C64709">
      <w:pPr>
        <w:keepNext/>
        <w:keepLines/>
        <w:jc w:val="center"/>
      </w:pPr>
      <w:r w:rsidRPr="005D4700">
        <w:t>These results have been removed due to confidentiality concerns.</w:t>
      </w:r>
    </w:p>
    <w:p w14:paraId="5A173F52" w14:textId="77777777" w:rsidR="00C64709" w:rsidRDefault="00C64709" w:rsidP="00C64709"/>
    <w:p w14:paraId="48E510E5" w14:textId="785C74EC" w:rsidR="00C64709" w:rsidRPr="0097115E" w:rsidRDefault="00C64709" w:rsidP="00C64709">
      <w:pPr>
        <w:pStyle w:val="FigureCaption"/>
        <w:keepNext/>
        <w:keepLines/>
      </w:pPr>
      <w:bookmarkStart w:id="133" w:name="_Toc351386771"/>
      <w:bookmarkStart w:id="134" w:name="_Toc383598043"/>
      <w:bookmarkStart w:id="135" w:name="_Toc415761918"/>
      <w:r w:rsidRPr="0097115E">
        <w:t xml:space="preserve">Figure 4.6: </w:t>
      </w:r>
      <w:bookmarkEnd w:id="133"/>
      <w:r w:rsidR="009D178E">
        <w:t>DBP February 7</w:t>
      </w:r>
      <w:r w:rsidR="00BD1EB5">
        <w:t>, 2014</w:t>
      </w:r>
      <w:r w:rsidRPr="0097115E">
        <w:t xml:space="preserve"> Load Impacts, </w:t>
      </w:r>
      <w:r w:rsidRPr="0097115E">
        <w:rPr>
          <w:i/>
        </w:rPr>
        <w:t>SDG&amp;E DA</w:t>
      </w:r>
      <w:bookmarkEnd w:id="134"/>
      <w:bookmarkEnd w:id="135"/>
    </w:p>
    <w:p w14:paraId="16C5EE72" w14:textId="3168DBCD" w:rsidR="00C64709" w:rsidRPr="00A3442A" w:rsidRDefault="00E41C84" w:rsidP="00E41C84">
      <w:pPr>
        <w:keepNext/>
        <w:keepLines/>
        <w:jc w:val="center"/>
      </w:pPr>
      <w:r w:rsidRPr="005D4700">
        <w:t>These results have been removed due to confidentiality concerns.</w:t>
      </w:r>
    </w:p>
    <w:p w14:paraId="26EF3541" w14:textId="1002D794" w:rsidR="00CE31EA" w:rsidRDefault="00CE31EA" w:rsidP="008B552C"/>
    <w:p w14:paraId="07083AB1" w14:textId="77777777" w:rsidR="00321E09" w:rsidRDefault="00321E09" w:rsidP="002149D8">
      <w:pPr>
        <w:pStyle w:val="Heading2"/>
      </w:pPr>
      <w:bookmarkStart w:id="136" w:name="_Toc415761832"/>
      <w:r w:rsidRPr="00F55948">
        <w:t>4.</w:t>
      </w:r>
      <w:r w:rsidR="00205D5C" w:rsidRPr="00F55948">
        <w:t>4</w:t>
      </w:r>
      <w:r w:rsidRPr="00F55948">
        <w:t xml:space="preserve"> </w:t>
      </w:r>
      <w:r w:rsidR="00E771EA" w:rsidRPr="00F55948">
        <w:t>Summary</w:t>
      </w:r>
      <w:r w:rsidRPr="00F55948">
        <w:t xml:space="preserve"> of TA/TI and AutoDR on Load Impacts</w:t>
      </w:r>
      <w:bookmarkEnd w:id="136"/>
    </w:p>
    <w:p w14:paraId="09DC8CAD" w14:textId="2705DF86" w:rsidR="00461403" w:rsidRDefault="00461403" w:rsidP="00461403">
      <w:r>
        <w:t xml:space="preserve">This section describes the </w:t>
      </w:r>
      <w:r w:rsidR="00933F01" w:rsidRPr="00933F01">
        <w:rPr>
          <w:i/>
        </w:rPr>
        <w:t>ex-post</w:t>
      </w:r>
      <w:r>
        <w:t xml:space="preserve"> load impacts achieved by DBP customer accounts that participated in two demand response incentive programs: TA/TI and AutoDR.</w:t>
      </w:r>
    </w:p>
    <w:p w14:paraId="6D0D8B3B" w14:textId="77777777" w:rsidR="00461403" w:rsidRDefault="00461403" w:rsidP="00461403"/>
    <w:p w14:paraId="3ED1540F" w14:textId="77777777" w:rsidR="00AD1457" w:rsidRDefault="00AD1457" w:rsidP="00AD1457">
      <w:r>
        <w:t>The Automated Demand Response (AutoDR) program provides customers incentives to invest in energy management technologies that will enable their equipment or facilities to reduce demand automatically in response to a physical signal sent from the utility. It encourages customers to expand their energy management capabilities by participating in DR programs using automated electric controls and management strategies.</w:t>
      </w:r>
    </w:p>
    <w:p w14:paraId="7F92A24E" w14:textId="77777777" w:rsidR="00AD1457" w:rsidRDefault="00AD1457" w:rsidP="00AD1457"/>
    <w:p w14:paraId="6D4FB971" w14:textId="376988E4" w:rsidR="00461403" w:rsidRDefault="00AD1457" w:rsidP="00AD1457">
      <w:r>
        <w:t xml:space="preserve">The Technical Assistance and Technology Incentives (TA/TI) program is no longer offered by the IOUs, but we summarize load impacts from customers that received program incentives in the past. The program had two parts: technical assistance in the form of energy audits, and technology incentives. The objective of the TA portion of the program was to subsidize customer energy audits that had the objective of identifying ways in which customers could reduce load during DR events. The TI portion of the program provided incentive payments for the installation of equipment or control software supporting DR.  </w:t>
      </w:r>
    </w:p>
    <w:p w14:paraId="268A07C8" w14:textId="77777777" w:rsidR="00461403" w:rsidRDefault="00461403" w:rsidP="00461403"/>
    <w:p w14:paraId="18595482" w14:textId="22CC156F" w:rsidR="00461403" w:rsidRDefault="00461403" w:rsidP="00461403">
      <w:r>
        <w:t xml:space="preserve">In the sub-sections below, we summarize </w:t>
      </w:r>
      <w:r w:rsidRPr="00373E7C">
        <w:rPr>
          <w:i/>
        </w:rPr>
        <w:t>total</w:t>
      </w:r>
      <w:r>
        <w:t xml:space="preserve"> load impacts for </w:t>
      </w:r>
      <w:r w:rsidR="00AD1457">
        <w:t xml:space="preserve">service accounts that received </w:t>
      </w:r>
      <w:r>
        <w:t xml:space="preserve">TA/TI </w:t>
      </w:r>
      <w:r w:rsidR="00AD1457">
        <w:t xml:space="preserve">or </w:t>
      </w:r>
      <w:r>
        <w:t>AutoDR</w:t>
      </w:r>
      <w:r w:rsidR="00AD1457">
        <w:t xml:space="preserve"> incentives at some point prior to the DR event(s) summarized</w:t>
      </w:r>
      <w:r>
        <w:t xml:space="preserve">. These are simply the sum of the estimated load impacts for customers in each program, as estimated using the methods described in Section 3.2.1. </w:t>
      </w:r>
    </w:p>
    <w:p w14:paraId="360BB254" w14:textId="77777777" w:rsidR="00461403" w:rsidRPr="000877C4" w:rsidRDefault="00461403" w:rsidP="00461403">
      <w:pPr>
        <w:pStyle w:val="Heading3"/>
        <w:rPr>
          <w:sz w:val="22"/>
        </w:rPr>
      </w:pPr>
      <w:bookmarkStart w:id="137" w:name="_Toc257708612"/>
      <w:bookmarkStart w:id="138" w:name="_Toc287183477"/>
      <w:bookmarkStart w:id="139" w:name="_Toc289180087"/>
      <w:bookmarkStart w:id="140" w:name="_Toc383597929"/>
      <w:bookmarkStart w:id="141" w:name="_Toc415761833"/>
      <w:r w:rsidRPr="000877C4">
        <w:rPr>
          <w:sz w:val="22"/>
        </w:rPr>
        <w:t>PG&amp;E</w:t>
      </w:r>
      <w:bookmarkEnd w:id="137"/>
      <w:bookmarkEnd w:id="138"/>
      <w:bookmarkEnd w:id="139"/>
      <w:bookmarkEnd w:id="140"/>
      <w:bookmarkEnd w:id="141"/>
    </w:p>
    <w:p w14:paraId="79C515B5" w14:textId="77777777" w:rsidR="00461403" w:rsidRPr="00F7268D" w:rsidRDefault="00461403" w:rsidP="00461403">
      <w:pPr>
        <w:rPr>
          <w:i/>
        </w:rPr>
      </w:pPr>
      <w:r w:rsidRPr="00F7268D">
        <w:rPr>
          <w:i/>
        </w:rPr>
        <w:t>TA/TI</w:t>
      </w:r>
    </w:p>
    <w:p w14:paraId="18DEAEC0" w14:textId="2CEE45BA" w:rsidR="00461403" w:rsidRDefault="00461403" w:rsidP="00461403">
      <w:r>
        <w:t xml:space="preserve">According to data provided by PG&amp;E, </w:t>
      </w:r>
      <w:r w:rsidR="00C50B7D">
        <w:t>seven</w:t>
      </w:r>
      <w:r>
        <w:t xml:space="preserve"> DBP service accounts participated in the TA/TI program</w:t>
      </w:r>
      <w:r w:rsidR="00AD1457">
        <w:t xml:space="preserve"> at some point in the past</w:t>
      </w:r>
      <w:r>
        <w:t xml:space="preserve">. However, no more than </w:t>
      </w:r>
      <w:r w:rsidR="00C50B7D">
        <w:t>two</w:t>
      </w:r>
      <w:r>
        <w:t xml:space="preserve"> of these service accounts submitted a bid during each event day.</w:t>
      </w:r>
    </w:p>
    <w:p w14:paraId="31E2C81A" w14:textId="77777777" w:rsidR="00461403" w:rsidRDefault="00461403" w:rsidP="00461403"/>
    <w:p w14:paraId="64236ACE" w14:textId="4BF5BD72" w:rsidR="00461403" w:rsidRDefault="00461403" w:rsidP="00461403">
      <w:r>
        <w:t xml:space="preserve">Table 4.15 shows the event-specific load impact for the </w:t>
      </w:r>
      <w:r w:rsidR="00AD1457">
        <w:t xml:space="preserve">past </w:t>
      </w:r>
      <w:r>
        <w:t xml:space="preserve">TA/TI participants. These customers averaged </w:t>
      </w:r>
      <w:r w:rsidR="00933F01">
        <w:t>load impacts of</w:t>
      </w:r>
      <w:r>
        <w:t xml:space="preserve"> </w:t>
      </w:r>
      <w:r w:rsidR="00C50B7D">
        <w:t>11.5</w:t>
      </w:r>
      <w:r>
        <w:t xml:space="preserve"> percent across the </w:t>
      </w:r>
      <w:r w:rsidR="00933F01">
        <w:t>nine system-wide</w:t>
      </w:r>
      <w:r>
        <w:t xml:space="preserve"> event days (i.e., when the entire DBP program was notified), with the highest response of </w:t>
      </w:r>
      <w:r w:rsidR="00C50B7D">
        <w:t>3.2</w:t>
      </w:r>
      <w:r>
        <w:t xml:space="preserve"> MW occurring on the Ju</w:t>
      </w:r>
      <w:r w:rsidR="00C50B7D">
        <w:t>ne 30</w:t>
      </w:r>
      <w:r w:rsidR="00C50B7D" w:rsidRPr="00C50B7D">
        <w:rPr>
          <w:vertAlign w:val="superscript"/>
        </w:rPr>
        <w:t>th</w:t>
      </w:r>
      <w:r w:rsidR="00C50B7D">
        <w:t xml:space="preserve"> </w:t>
      </w:r>
      <w:r>
        <w:t xml:space="preserve">event day. The rightmost column (“Approved MW for bidders”) shows the total MW approved following the TA/TI DR test. </w:t>
      </w:r>
      <w:r w:rsidR="00D9673D" w:rsidRPr="005D4700">
        <w:t>These results have been removed due to confidentiality concerns.</w:t>
      </w:r>
    </w:p>
    <w:p w14:paraId="3DC5471D" w14:textId="77777777" w:rsidR="00461403" w:rsidRDefault="00461403" w:rsidP="00461403"/>
    <w:p w14:paraId="5445FB0D" w14:textId="686DB17F" w:rsidR="00461403" w:rsidRPr="00852320" w:rsidRDefault="00461403" w:rsidP="00D9673D">
      <w:pPr>
        <w:pStyle w:val="TableCaption"/>
        <w:keepNext/>
        <w:keepLines/>
      </w:pPr>
      <w:bookmarkStart w:id="142" w:name="_Toc287183505"/>
      <w:bookmarkStart w:id="143" w:name="_Toc289180117"/>
      <w:bookmarkStart w:id="144" w:name="_Toc383597997"/>
      <w:bookmarkStart w:id="145" w:name="_Toc415761886"/>
      <w:r w:rsidRPr="00852320">
        <w:t>Table 4.1</w:t>
      </w:r>
      <w:r>
        <w:t>5</w:t>
      </w:r>
      <w:r w:rsidRPr="00852320">
        <w:t xml:space="preserve">: Average </w:t>
      </w:r>
      <w:r w:rsidR="00370C78">
        <w:t>Event-</w:t>
      </w:r>
      <w:r w:rsidRPr="00852320">
        <w:t xml:space="preserve">Hour Load Impacts by Event, </w:t>
      </w:r>
      <w:r w:rsidRPr="00852320">
        <w:rPr>
          <w:i/>
        </w:rPr>
        <w:t>PG&amp;E</w:t>
      </w:r>
      <w:r w:rsidRPr="00852320">
        <w:t xml:space="preserve"> </w:t>
      </w:r>
      <w:r w:rsidRPr="00852320">
        <w:rPr>
          <w:i/>
        </w:rPr>
        <w:t>TA/TI</w:t>
      </w:r>
      <w:bookmarkEnd w:id="142"/>
      <w:bookmarkEnd w:id="143"/>
      <w:bookmarkEnd w:id="144"/>
      <w:bookmarkEnd w:id="145"/>
    </w:p>
    <w:tbl>
      <w:tblPr>
        <w:tblW w:w="88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29"/>
        <w:gridCol w:w="1035"/>
        <w:gridCol w:w="1035"/>
        <w:gridCol w:w="1258"/>
        <w:gridCol w:w="1135"/>
        <w:gridCol w:w="1222"/>
        <w:gridCol w:w="860"/>
        <w:gridCol w:w="1182"/>
      </w:tblGrid>
      <w:tr w:rsidR="00461403" w14:paraId="564129AF" w14:textId="77777777" w:rsidTr="00461403">
        <w:tc>
          <w:tcPr>
            <w:tcW w:w="0" w:type="auto"/>
            <w:tcBorders>
              <w:top w:val="single" w:sz="4" w:space="0" w:color="auto"/>
              <w:bottom w:val="single" w:sz="4" w:space="0" w:color="auto"/>
              <w:right w:val="single" w:sz="4" w:space="0" w:color="auto"/>
            </w:tcBorders>
            <w:shd w:val="clear" w:color="auto" w:fill="D9E2F3"/>
            <w:vAlign w:val="center"/>
          </w:tcPr>
          <w:p w14:paraId="1BBD018F" w14:textId="77777777" w:rsidR="00461403" w:rsidRPr="00773FF3" w:rsidRDefault="00461403" w:rsidP="00D9673D">
            <w:pPr>
              <w:keepNext/>
              <w:keepLines/>
              <w:rPr>
                <w:rFonts w:ascii="Arial" w:hAnsi="Arial" w:cs="Arial"/>
                <w:b/>
                <w:sz w:val="18"/>
                <w:szCs w:val="18"/>
              </w:rPr>
            </w:pPr>
            <w:r w:rsidRPr="00773FF3">
              <w:rPr>
                <w:rFonts w:ascii="Arial" w:hAnsi="Arial" w:cs="Arial"/>
                <w:b/>
                <w:sz w:val="18"/>
                <w:szCs w:val="18"/>
              </w:rPr>
              <w:t>Event Date</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3CF18AA4" w14:textId="77777777" w:rsidR="00461403" w:rsidRPr="00773FF3" w:rsidRDefault="00461403" w:rsidP="00D9673D">
            <w:pPr>
              <w:keepNext/>
              <w:keepLines/>
              <w:jc w:val="center"/>
              <w:rPr>
                <w:rFonts w:ascii="Arial" w:hAnsi="Arial" w:cs="Arial"/>
                <w:b/>
                <w:sz w:val="18"/>
                <w:szCs w:val="18"/>
              </w:rPr>
            </w:pPr>
            <w:r w:rsidRPr="00773FF3">
              <w:rPr>
                <w:rFonts w:ascii="Arial" w:hAnsi="Arial" w:cs="Arial"/>
                <w:b/>
                <w:sz w:val="18"/>
                <w:szCs w:val="18"/>
              </w:rPr>
              <w:t>Number of</w:t>
            </w:r>
            <w:r>
              <w:rPr>
                <w:rFonts w:ascii="Arial" w:hAnsi="Arial" w:cs="Arial"/>
                <w:b/>
                <w:sz w:val="18"/>
                <w:szCs w:val="18"/>
              </w:rPr>
              <w:t xml:space="preserve"> Notified</w:t>
            </w:r>
            <w:r w:rsidRPr="00773FF3">
              <w:rPr>
                <w:rFonts w:ascii="Arial" w:hAnsi="Arial" w:cs="Arial"/>
                <w:b/>
                <w:sz w:val="18"/>
                <w:szCs w:val="18"/>
              </w:rPr>
              <w:t xml:space="preserve"> SAIDs</w:t>
            </w:r>
          </w:p>
        </w:tc>
        <w:tc>
          <w:tcPr>
            <w:tcW w:w="0" w:type="auto"/>
            <w:tcBorders>
              <w:top w:val="single" w:sz="4" w:space="0" w:color="auto"/>
              <w:left w:val="single" w:sz="4" w:space="0" w:color="auto"/>
              <w:bottom w:val="single" w:sz="4" w:space="0" w:color="auto"/>
              <w:right w:val="single" w:sz="4" w:space="0" w:color="auto"/>
            </w:tcBorders>
            <w:shd w:val="clear" w:color="auto" w:fill="D9E2F3"/>
          </w:tcPr>
          <w:p w14:paraId="19607831" w14:textId="77777777" w:rsidR="00461403" w:rsidRPr="00773FF3" w:rsidRDefault="00461403" w:rsidP="00D9673D">
            <w:pPr>
              <w:keepNext/>
              <w:keepLines/>
              <w:jc w:val="center"/>
              <w:rPr>
                <w:rFonts w:ascii="Arial" w:hAnsi="Arial" w:cs="Arial"/>
                <w:b/>
                <w:sz w:val="18"/>
                <w:szCs w:val="18"/>
              </w:rPr>
            </w:pPr>
            <w:r>
              <w:rPr>
                <w:rFonts w:ascii="Arial" w:hAnsi="Arial" w:cs="Arial"/>
                <w:b/>
                <w:sz w:val="18"/>
                <w:szCs w:val="18"/>
              </w:rPr>
              <w:t>Number of Bidding SAIDs</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24EFB5A3" w14:textId="77777777" w:rsidR="00461403" w:rsidRPr="00773FF3" w:rsidRDefault="00461403" w:rsidP="00D9673D">
            <w:pPr>
              <w:keepNext/>
              <w:keepLines/>
              <w:jc w:val="center"/>
              <w:rPr>
                <w:rFonts w:ascii="Arial" w:hAnsi="Arial" w:cs="Arial"/>
                <w:b/>
                <w:sz w:val="18"/>
                <w:szCs w:val="18"/>
              </w:rPr>
            </w:pPr>
            <w:r w:rsidRPr="00773FF3">
              <w:rPr>
                <w:rFonts w:ascii="Arial" w:hAnsi="Arial" w:cs="Arial"/>
                <w:b/>
                <w:sz w:val="18"/>
                <w:szCs w:val="18"/>
              </w:rPr>
              <w:t>Estimated Reference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1B17ECC8" w14:textId="77777777" w:rsidR="00461403" w:rsidRPr="00773FF3" w:rsidRDefault="00461403" w:rsidP="00D9673D">
            <w:pPr>
              <w:keepNext/>
              <w:keepLines/>
              <w:jc w:val="center"/>
              <w:rPr>
                <w:rFonts w:ascii="Arial" w:hAnsi="Arial" w:cs="Arial"/>
                <w:b/>
                <w:sz w:val="18"/>
                <w:szCs w:val="18"/>
              </w:rPr>
            </w:pPr>
            <w:r w:rsidRPr="00773FF3">
              <w:rPr>
                <w:rFonts w:ascii="Arial" w:hAnsi="Arial" w:cs="Arial"/>
                <w:b/>
                <w:sz w:val="18"/>
                <w:szCs w:val="18"/>
              </w:rPr>
              <w:t>Observed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7FE381D4" w14:textId="77777777" w:rsidR="00461403" w:rsidRPr="00773FF3" w:rsidRDefault="00461403" w:rsidP="00D9673D">
            <w:pPr>
              <w:keepNext/>
              <w:keepLines/>
              <w:jc w:val="center"/>
              <w:rPr>
                <w:rFonts w:ascii="Arial" w:hAnsi="Arial" w:cs="Arial"/>
                <w:b/>
                <w:sz w:val="18"/>
                <w:szCs w:val="18"/>
              </w:rPr>
            </w:pPr>
            <w:r w:rsidRPr="00773FF3">
              <w:rPr>
                <w:rFonts w:ascii="Arial" w:hAnsi="Arial" w:cs="Arial"/>
                <w:b/>
                <w:sz w:val="18"/>
                <w:szCs w:val="18"/>
              </w:rPr>
              <w:t>Estimated Load Impact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55F8A5AA" w14:textId="77777777" w:rsidR="00461403" w:rsidRPr="00773FF3" w:rsidRDefault="00461403" w:rsidP="00D9673D">
            <w:pPr>
              <w:keepNext/>
              <w:keepLines/>
              <w:jc w:val="center"/>
              <w:rPr>
                <w:rFonts w:ascii="Arial" w:hAnsi="Arial" w:cs="Arial"/>
                <w:b/>
                <w:sz w:val="18"/>
                <w:szCs w:val="18"/>
              </w:rPr>
            </w:pPr>
            <w:r w:rsidRPr="00773FF3">
              <w:rPr>
                <w:rFonts w:ascii="Arial" w:hAnsi="Arial" w:cs="Arial"/>
                <w:b/>
                <w:sz w:val="18"/>
                <w:szCs w:val="18"/>
              </w:rPr>
              <w:t>% Load Impact</w:t>
            </w:r>
          </w:p>
        </w:tc>
        <w:tc>
          <w:tcPr>
            <w:tcW w:w="0" w:type="auto"/>
            <w:tcBorders>
              <w:top w:val="single" w:sz="4" w:space="0" w:color="auto"/>
              <w:left w:val="single" w:sz="4" w:space="0" w:color="auto"/>
              <w:bottom w:val="single" w:sz="4" w:space="0" w:color="auto"/>
            </w:tcBorders>
            <w:shd w:val="clear" w:color="auto" w:fill="D9E2F3"/>
            <w:vAlign w:val="center"/>
          </w:tcPr>
          <w:p w14:paraId="3EF84A24" w14:textId="77777777" w:rsidR="00461403" w:rsidRPr="00773FF3" w:rsidRDefault="00461403" w:rsidP="00D9673D">
            <w:pPr>
              <w:keepNext/>
              <w:keepLines/>
              <w:jc w:val="center"/>
              <w:rPr>
                <w:rFonts w:ascii="Arial" w:hAnsi="Arial" w:cs="Arial"/>
                <w:b/>
                <w:sz w:val="18"/>
                <w:szCs w:val="18"/>
              </w:rPr>
            </w:pPr>
            <w:r>
              <w:rPr>
                <w:rFonts w:ascii="Arial" w:hAnsi="Arial" w:cs="Arial"/>
                <w:b/>
                <w:sz w:val="18"/>
                <w:szCs w:val="18"/>
              </w:rPr>
              <w:t>Approved MW for Bidders</w:t>
            </w:r>
          </w:p>
        </w:tc>
      </w:tr>
      <w:tr w:rsidR="00E1146D" w14:paraId="4844630B" w14:textId="77777777" w:rsidTr="00E1146D">
        <w:tc>
          <w:tcPr>
            <w:tcW w:w="0" w:type="auto"/>
            <w:tcBorders>
              <w:top w:val="single" w:sz="4" w:space="0" w:color="auto"/>
            </w:tcBorders>
          </w:tcPr>
          <w:p w14:paraId="1CE8F9EA" w14:textId="2230A44F" w:rsidR="00E1146D" w:rsidRPr="00461403" w:rsidRDefault="00E1146D" w:rsidP="00D9673D">
            <w:pPr>
              <w:keepNext/>
              <w:keepLines/>
              <w:rPr>
                <w:rFonts w:ascii="Arial" w:hAnsi="Arial" w:cs="Arial"/>
                <w:sz w:val="18"/>
                <w:szCs w:val="18"/>
              </w:rPr>
            </w:pPr>
            <w:r w:rsidRPr="00461403">
              <w:rPr>
                <w:rFonts w:ascii="Arial" w:hAnsi="Arial" w:cs="Arial"/>
                <w:sz w:val="18"/>
                <w:szCs w:val="18"/>
              </w:rPr>
              <w:t>5/14/2014</w:t>
            </w:r>
          </w:p>
        </w:tc>
        <w:tc>
          <w:tcPr>
            <w:tcW w:w="0" w:type="auto"/>
            <w:tcBorders>
              <w:top w:val="single" w:sz="4" w:space="0" w:color="auto"/>
            </w:tcBorders>
            <w:vAlign w:val="center"/>
          </w:tcPr>
          <w:p w14:paraId="30C84998" w14:textId="33EF0362" w:rsidR="00E1146D" w:rsidRPr="00E1146D" w:rsidRDefault="00E1146D" w:rsidP="00D9673D">
            <w:pPr>
              <w:keepNext/>
              <w:keepLines/>
              <w:jc w:val="center"/>
              <w:rPr>
                <w:rFonts w:ascii="Arial" w:hAnsi="Arial" w:cs="Arial"/>
                <w:sz w:val="18"/>
                <w:szCs w:val="18"/>
              </w:rPr>
            </w:pPr>
          </w:p>
        </w:tc>
        <w:tc>
          <w:tcPr>
            <w:tcW w:w="0" w:type="auto"/>
            <w:tcBorders>
              <w:top w:val="single" w:sz="4" w:space="0" w:color="auto"/>
            </w:tcBorders>
            <w:vAlign w:val="center"/>
          </w:tcPr>
          <w:p w14:paraId="0EBC1FEB" w14:textId="12ED47FA" w:rsidR="00E1146D" w:rsidRPr="00E1146D" w:rsidRDefault="00E1146D" w:rsidP="00D9673D">
            <w:pPr>
              <w:keepNext/>
              <w:keepLines/>
              <w:jc w:val="center"/>
              <w:rPr>
                <w:rFonts w:ascii="Arial" w:hAnsi="Arial" w:cs="Arial"/>
                <w:sz w:val="18"/>
                <w:szCs w:val="18"/>
              </w:rPr>
            </w:pPr>
          </w:p>
        </w:tc>
        <w:tc>
          <w:tcPr>
            <w:tcW w:w="0" w:type="auto"/>
            <w:tcBorders>
              <w:top w:val="single" w:sz="4" w:space="0" w:color="auto"/>
            </w:tcBorders>
            <w:vAlign w:val="center"/>
          </w:tcPr>
          <w:p w14:paraId="622129B9" w14:textId="733D54DB" w:rsidR="00E1146D" w:rsidRPr="00E1146D" w:rsidRDefault="00E1146D" w:rsidP="00D9673D">
            <w:pPr>
              <w:keepNext/>
              <w:keepLines/>
              <w:jc w:val="center"/>
              <w:rPr>
                <w:rFonts w:ascii="Arial" w:hAnsi="Arial" w:cs="Arial"/>
                <w:sz w:val="18"/>
                <w:szCs w:val="18"/>
              </w:rPr>
            </w:pPr>
          </w:p>
        </w:tc>
        <w:tc>
          <w:tcPr>
            <w:tcW w:w="0" w:type="auto"/>
            <w:tcBorders>
              <w:top w:val="single" w:sz="4" w:space="0" w:color="auto"/>
            </w:tcBorders>
            <w:vAlign w:val="center"/>
          </w:tcPr>
          <w:p w14:paraId="2D4A969E" w14:textId="6B6094E7" w:rsidR="00E1146D" w:rsidRPr="00E1146D" w:rsidRDefault="00E1146D" w:rsidP="00D9673D">
            <w:pPr>
              <w:keepNext/>
              <w:keepLines/>
              <w:jc w:val="center"/>
              <w:rPr>
                <w:rFonts w:ascii="Arial" w:hAnsi="Arial" w:cs="Arial"/>
                <w:sz w:val="18"/>
                <w:szCs w:val="18"/>
              </w:rPr>
            </w:pPr>
          </w:p>
        </w:tc>
        <w:tc>
          <w:tcPr>
            <w:tcW w:w="0" w:type="auto"/>
            <w:tcBorders>
              <w:top w:val="single" w:sz="4" w:space="0" w:color="auto"/>
            </w:tcBorders>
            <w:vAlign w:val="center"/>
          </w:tcPr>
          <w:p w14:paraId="21810145" w14:textId="3E6CB4CB" w:rsidR="00E1146D" w:rsidRPr="00E1146D" w:rsidRDefault="00E1146D" w:rsidP="00D9673D">
            <w:pPr>
              <w:keepNext/>
              <w:keepLines/>
              <w:jc w:val="center"/>
              <w:rPr>
                <w:rFonts w:ascii="Arial" w:hAnsi="Arial" w:cs="Arial"/>
                <w:sz w:val="18"/>
                <w:szCs w:val="18"/>
              </w:rPr>
            </w:pPr>
          </w:p>
        </w:tc>
        <w:tc>
          <w:tcPr>
            <w:tcW w:w="0" w:type="auto"/>
            <w:tcBorders>
              <w:top w:val="single" w:sz="4" w:space="0" w:color="auto"/>
            </w:tcBorders>
            <w:vAlign w:val="center"/>
          </w:tcPr>
          <w:p w14:paraId="6D1A6DAF" w14:textId="708521C0" w:rsidR="00E1146D" w:rsidRPr="00E1146D" w:rsidRDefault="00E1146D" w:rsidP="00D9673D">
            <w:pPr>
              <w:keepNext/>
              <w:keepLines/>
              <w:jc w:val="center"/>
              <w:rPr>
                <w:rFonts w:ascii="Arial" w:hAnsi="Arial" w:cs="Arial"/>
                <w:sz w:val="18"/>
                <w:szCs w:val="18"/>
              </w:rPr>
            </w:pPr>
          </w:p>
        </w:tc>
        <w:tc>
          <w:tcPr>
            <w:tcW w:w="0" w:type="auto"/>
            <w:tcBorders>
              <w:top w:val="single" w:sz="4" w:space="0" w:color="auto"/>
            </w:tcBorders>
            <w:vAlign w:val="center"/>
          </w:tcPr>
          <w:p w14:paraId="29EEC691" w14:textId="37C08A44" w:rsidR="00E1146D" w:rsidRPr="00E1146D" w:rsidRDefault="00E1146D" w:rsidP="00D9673D">
            <w:pPr>
              <w:keepNext/>
              <w:keepLines/>
              <w:jc w:val="center"/>
              <w:rPr>
                <w:rFonts w:ascii="Arial" w:hAnsi="Arial" w:cs="Arial"/>
                <w:sz w:val="18"/>
                <w:szCs w:val="18"/>
              </w:rPr>
            </w:pPr>
          </w:p>
        </w:tc>
      </w:tr>
      <w:tr w:rsidR="00E1146D" w14:paraId="05C333BD" w14:textId="77777777" w:rsidTr="00E1146D">
        <w:tc>
          <w:tcPr>
            <w:tcW w:w="0" w:type="auto"/>
          </w:tcPr>
          <w:p w14:paraId="029889F2" w14:textId="380E6FDF" w:rsidR="00E1146D" w:rsidRPr="00461403" w:rsidRDefault="00E1146D" w:rsidP="00D9673D">
            <w:pPr>
              <w:keepNext/>
              <w:keepLines/>
              <w:rPr>
                <w:rFonts w:ascii="Arial" w:hAnsi="Arial" w:cs="Arial"/>
                <w:sz w:val="18"/>
                <w:szCs w:val="18"/>
              </w:rPr>
            </w:pPr>
            <w:r w:rsidRPr="00461403">
              <w:rPr>
                <w:rFonts w:ascii="Arial" w:hAnsi="Arial" w:cs="Arial"/>
                <w:sz w:val="18"/>
                <w:szCs w:val="18"/>
              </w:rPr>
              <w:t>6/30/2014</w:t>
            </w:r>
          </w:p>
        </w:tc>
        <w:tc>
          <w:tcPr>
            <w:tcW w:w="0" w:type="auto"/>
            <w:vAlign w:val="center"/>
          </w:tcPr>
          <w:p w14:paraId="30F0C070" w14:textId="10D751BB" w:rsidR="00E1146D" w:rsidRPr="00E1146D" w:rsidRDefault="00E1146D" w:rsidP="00D9673D">
            <w:pPr>
              <w:keepNext/>
              <w:keepLines/>
              <w:jc w:val="center"/>
              <w:rPr>
                <w:rFonts w:ascii="Arial" w:hAnsi="Arial" w:cs="Arial"/>
                <w:sz w:val="18"/>
                <w:szCs w:val="18"/>
              </w:rPr>
            </w:pPr>
          </w:p>
        </w:tc>
        <w:tc>
          <w:tcPr>
            <w:tcW w:w="0" w:type="auto"/>
            <w:vAlign w:val="center"/>
          </w:tcPr>
          <w:p w14:paraId="1F135305" w14:textId="4FEEA25B" w:rsidR="00E1146D" w:rsidRPr="00E1146D" w:rsidRDefault="00E1146D" w:rsidP="00D9673D">
            <w:pPr>
              <w:keepNext/>
              <w:keepLines/>
              <w:jc w:val="center"/>
              <w:rPr>
                <w:rFonts w:ascii="Arial" w:hAnsi="Arial" w:cs="Arial"/>
                <w:sz w:val="18"/>
                <w:szCs w:val="18"/>
              </w:rPr>
            </w:pPr>
          </w:p>
        </w:tc>
        <w:tc>
          <w:tcPr>
            <w:tcW w:w="0" w:type="auto"/>
            <w:vAlign w:val="center"/>
          </w:tcPr>
          <w:p w14:paraId="4364B87D" w14:textId="0CC07FAC" w:rsidR="00E1146D" w:rsidRPr="00E1146D" w:rsidRDefault="00E1146D" w:rsidP="00D9673D">
            <w:pPr>
              <w:keepNext/>
              <w:keepLines/>
              <w:jc w:val="center"/>
              <w:rPr>
                <w:rFonts w:ascii="Arial" w:hAnsi="Arial" w:cs="Arial"/>
                <w:sz w:val="18"/>
                <w:szCs w:val="18"/>
              </w:rPr>
            </w:pPr>
          </w:p>
        </w:tc>
        <w:tc>
          <w:tcPr>
            <w:tcW w:w="0" w:type="auto"/>
            <w:vAlign w:val="center"/>
          </w:tcPr>
          <w:p w14:paraId="0A066CCE" w14:textId="78BD2EFC" w:rsidR="00E1146D" w:rsidRPr="00E1146D" w:rsidRDefault="00E1146D" w:rsidP="00D9673D">
            <w:pPr>
              <w:keepNext/>
              <w:keepLines/>
              <w:jc w:val="center"/>
              <w:rPr>
                <w:rFonts w:ascii="Arial" w:hAnsi="Arial" w:cs="Arial"/>
                <w:sz w:val="18"/>
                <w:szCs w:val="18"/>
              </w:rPr>
            </w:pPr>
          </w:p>
        </w:tc>
        <w:tc>
          <w:tcPr>
            <w:tcW w:w="0" w:type="auto"/>
            <w:vAlign w:val="center"/>
          </w:tcPr>
          <w:p w14:paraId="3388C2B3" w14:textId="332A4C48" w:rsidR="00E1146D" w:rsidRPr="00E1146D" w:rsidRDefault="00E1146D" w:rsidP="00D9673D">
            <w:pPr>
              <w:keepNext/>
              <w:keepLines/>
              <w:jc w:val="center"/>
              <w:rPr>
                <w:rFonts w:ascii="Arial" w:hAnsi="Arial" w:cs="Arial"/>
                <w:sz w:val="18"/>
                <w:szCs w:val="18"/>
              </w:rPr>
            </w:pPr>
          </w:p>
        </w:tc>
        <w:tc>
          <w:tcPr>
            <w:tcW w:w="0" w:type="auto"/>
            <w:vAlign w:val="center"/>
          </w:tcPr>
          <w:p w14:paraId="20A218C8" w14:textId="02F604FF" w:rsidR="00E1146D" w:rsidRPr="00E1146D" w:rsidRDefault="00E1146D" w:rsidP="00D9673D">
            <w:pPr>
              <w:keepNext/>
              <w:keepLines/>
              <w:jc w:val="center"/>
              <w:rPr>
                <w:rFonts w:ascii="Arial" w:hAnsi="Arial" w:cs="Arial"/>
                <w:sz w:val="18"/>
                <w:szCs w:val="18"/>
              </w:rPr>
            </w:pPr>
          </w:p>
        </w:tc>
        <w:tc>
          <w:tcPr>
            <w:tcW w:w="0" w:type="auto"/>
            <w:vAlign w:val="center"/>
          </w:tcPr>
          <w:p w14:paraId="059D7CA3" w14:textId="73619DF7" w:rsidR="00E1146D" w:rsidRPr="00E1146D" w:rsidRDefault="00E1146D" w:rsidP="00D9673D">
            <w:pPr>
              <w:keepNext/>
              <w:keepLines/>
              <w:jc w:val="center"/>
              <w:rPr>
                <w:rFonts w:ascii="Arial" w:hAnsi="Arial" w:cs="Arial"/>
                <w:sz w:val="18"/>
                <w:szCs w:val="18"/>
              </w:rPr>
            </w:pPr>
          </w:p>
        </w:tc>
      </w:tr>
      <w:tr w:rsidR="00E1146D" w14:paraId="735A5EBC" w14:textId="77777777" w:rsidTr="00E1146D">
        <w:tc>
          <w:tcPr>
            <w:tcW w:w="0" w:type="auto"/>
          </w:tcPr>
          <w:p w14:paraId="5E05487D" w14:textId="1CE67CF4" w:rsidR="00E1146D" w:rsidRPr="00461403" w:rsidRDefault="00E1146D" w:rsidP="00D9673D">
            <w:pPr>
              <w:keepNext/>
              <w:keepLines/>
              <w:rPr>
                <w:rFonts w:ascii="Arial" w:hAnsi="Arial" w:cs="Arial"/>
                <w:sz w:val="18"/>
                <w:szCs w:val="18"/>
              </w:rPr>
            </w:pPr>
            <w:r w:rsidRPr="00461403">
              <w:rPr>
                <w:rFonts w:ascii="Arial" w:hAnsi="Arial" w:cs="Arial"/>
                <w:sz w:val="18"/>
                <w:szCs w:val="18"/>
              </w:rPr>
              <w:t>7/7/2014</w:t>
            </w:r>
          </w:p>
        </w:tc>
        <w:tc>
          <w:tcPr>
            <w:tcW w:w="0" w:type="auto"/>
            <w:vAlign w:val="center"/>
          </w:tcPr>
          <w:p w14:paraId="0BBAC7E4" w14:textId="3D31AC94" w:rsidR="00E1146D" w:rsidRPr="00E1146D" w:rsidRDefault="00E1146D" w:rsidP="00D9673D">
            <w:pPr>
              <w:keepNext/>
              <w:keepLines/>
              <w:jc w:val="center"/>
              <w:rPr>
                <w:rFonts w:ascii="Arial" w:hAnsi="Arial" w:cs="Arial"/>
                <w:sz w:val="18"/>
                <w:szCs w:val="18"/>
              </w:rPr>
            </w:pPr>
          </w:p>
        </w:tc>
        <w:tc>
          <w:tcPr>
            <w:tcW w:w="0" w:type="auto"/>
            <w:vAlign w:val="center"/>
          </w:tcPr>
          <w:p w14:paraId="17933F8F" w14:textId="085B9A0D" w:rsidR="00E1146D" w:rsidRPr="00E1146D" w:rsidRDefault="00E1146D" w:rsidP="00D9673D">
            <w:pPr>
              <w:keepNext/>
              <w:keepLines/>
              <w:jc w:val="center"/>
              <w:rPr>
                <w:rFonts w:ascii="Arial" w:hAnsi="Arial" w:cs="Arial"/>
                <w:sz w:val="18"/>
                <w:szCs w:val="18"/>
              </w:rPr>
            </w:pPr>
          </w:p>
        </w:tc>
        <w:tc>
          <w:tcPr>
            <w:tcW w:w="0" w:type="auto"/>
            <w:vAlign w:val="center"/>
          </w:tcPr>
          <w:p w14:paraId="06FA209A" w14:textId="0B4C4765" w:rsidR="00E1146D" w:rsidRPr="00E1146D" w:rsidRDefault="00E1146D" w:rsidP="00D9673D">
            <w:pPr>
              <w:keepNext/>
              <w:keepLines/>
              <w:jc w:val="center"/>
              <w:rPr>
                <w:rFonts w:ascii="Arial" w:hAnsi="Arial" w:cs="Arial"/>
                <w:sz w:val="18"/>
                <w:szCs w:val="18"/>
              </w:rPr>
            </w:pPr>
          </w:p>
        </w:tc>
        <w:tc>
          <w:tcPr>
            <w:tcW w:w="0" w:type="auto"/>
            <w:vAlign w:val="center"/>
          </w:tcPr>
          <w:p w14:paraId="44C16AA5" w14:textId="1A7EBE03" w:rsidR="00E1146D" w:rsidRPr="00E1146D" w:rsidRDefault="00E1146D" w:rsidP="00D9673D">
            <w:pPr>
              <w:keepNext/>
              <w:keepLines/>
              <w:jc w:val="center"/>
              <w:rPr>
                <w:rFonts w:ascii="Arial" w:hAnsi="Arial" w:cs="Arial"/>
                <w:sz w:val="18"/>
                <w:szCs w:val="18"/>
              </w:rPr>
            </w:pPr>
          </w:p>
        </w:tc>
        <w:tc>
          <w:tcPr>
            <w:tcW w:w="0" w:type="auto"/>
            <w:vAlign w:val="center"/>
          </w:tcPr>
          <w:p w14:paraId="4B250658" w14:textId="6A460019" w:rsidR="00E1146D" w:rsidRPr="00E1146D" w:rsidRDefault="00E1146D" w:rsidP="00D9673D">
            <w:pPr>
              <w:keepNext/>
              <w:keepLines/>
              <w:jc w:val="center"/>
              <w:rPr>
                <w:rFonts w:ascii="Arial" w:hAnsi="Arial" w:cs="Arial"/>
                <w:sz w:val="18"/>
                <w:szCs w:val="18"/>
              </w:rPr>
            </w:pPr>
          </w:p>
        </w:tc>
        <w:tc>
          <w:tcPr>
            <w:tcW w:w="0" w:type="auto"/>
            <w:vAlign w:val="center"/>
          </w:tcPr>
          <w:p w14:paraId="667145F8" w14:textId="24AF0B02" w:rsidR="00E1146D" w:rsidRPr="00E1146D" w:rsidRDefault="00E1146D" w:rsidP="00D9673D">
            <w:pPr>
              <w:keepNext/>
              <w:keepLines/>
              <w:jc w:val="center"/>
              <w:rPr>
                <w:rFonts w:ascii="Arial" w:hAnsi="Arial" w:cs="Arial"/>
                <w:sz w:val="18"/>
                <w:szCs w:val="18"/>
              </w:rPr>
            </w:pPr>
          </w:p>
        </w:tc>
        <w:tc>
          <w:tcPr>
            <w:tcW w:w="0" w:type="auto"/>
            <w:vAlign w:val="center"/>
          </w:tcPr>
          <w:p w14:paraId="2296196E" w14:textId="2F673027" w:rsidR="00E1146D" w:rsidRPr="00E1146D" w:rsidRDefault="00E1146D" w:rsidP="00D9673D">
            <w:pPr>
              <w:keepNext/>
              <w:keepLines/>
              <w:jc w:val="center"/>
              <w:rPr>
                <w:rFonts w:ascii="Arial" w:hAnsi="Arial" w:cs="Arial"/>
                <w:sz w:val="18"/>
                <w:szCs w:val="18"/>
              </w:rPr>
            </w:pPr>
          </w:p>
        </w:tc>
      </w:tr>
      <w:tr w:rsidR="00E1146D" w14:paraId="1BEE9241" w14:textId="77777777" w:rsidTr="00E1146D">
        <w:tc>
          <w:tcPr>
            <w:tcW w:w="0" w:type="auto"/>
          </w:tcPr>
          <w:p w14:paraId="078C4A38" w14:textId="5154664B" w:rsidR="00E1146D" w:rsidRPr="00461403" w:rsidRDefault="00E1146D" w:rsidP="00D9673D">
            <w:pPr>
              <w:keepNext/>
              <w:keepLines/>
              <w:rPr>
                <w:rFonts w:ascii="Arial" w:hAnsi="Arial" w:cs="Arial"/>
                <w:sz w:val="18"/>
                <w:szCs w:val="18"/>
              </w:rPr>
            </w:pPr>
            <w:r w:rsidRPr="00461403">
              <w:rPr>
                <w:rFonts w:ascii="Arial" w:hAnsi="Arial" w:cs="Arial"/>
                <w:sz w:val="18"/>
                <w:szCs w:val="18"/>
              </w:rPr>
              <w:t>7/14/2014</w:t>
            </w:r>
          </w:p>
        </w:tc>
        <w:tc>
          <w:tcPr>
            <w:tcW w:w="0" w:type="auto"/>
            <w:vAlign w:val="center"/>
          </w:tcPr>
          <w:p w14:paraId="2C0808CF" w14:textId="3226E16B" w:rsidR="00E1146D" w:rsidRPr="00E1146D" w:rsidRDefault="00E1146D" w:rsidP="00D9673D">
            <w:pPr>
              <w:keepNext/>
              <w:keepLines/>
              <w:jc w:val="center"/>
              <w:rPr>
                <w:rFonts w:ascii="Arial" w:hAnsi="Arial" w:cs="Arial"/>
                <w:sz w:val="18"/>
                <w:szCs w:val="18"/>
              </w:rPr>
            </w:pPr>
          </w:p>
        </w:tc>
        <w:tc>
          <w:tcPr>
            <w:tcW w:w="0" w:type="auto"/>
            <w:vAlign w:val="center"/>
          </w:tcPr>
          <w:p w14:paraId="4B46A518" w14:textId="6DDF7F63" w:rsidR="00E1146D" w:rsidRPr="00E1146D" w:rsidRDefault="00E1146D" w:rsidP="00D9673D">
            <w:pPr>
              <w:keepNext/>
              <w:keepLines/>
              <w:jc w:val="center"/>
              <w:rPr>
                <w:rFonts w:ascii="Arial" w:hAnsi="Arial" w:cs="Arial"/>
                <w:sz w:val="18"/>
                <w:szCs w:val="18"/>
              </w:rPr>
            </w:pPr>
          </w:p>
        </w:tc>
        <w:tc>
          <w:tcPr>
            <w:tcW w:w="0" w:type="auto"/>
            <w:vAlign w:val="center"/>
          </w:tcPr>
          <w:p w14:paraId="703876E3" w14:textId="425C66C6" w:rsidR="00E1146D" w:rsidRPr="00E1146D" w:rsidRDefault="00E1146D" w:rsidP="00D9673D">
            <w:pPr>
              <w:keepNext/>
              <w:keepLines/>
              <w:jc w:val="center"/>
              <w:rPr>
                <w:rFonts w:ascii="Arial" w:hAnsi="Arial" w:cs="Arial"/>
                <w:sz w:val="18"/>
                <w:szCs w:val="18"/>
              </w:rPr>
            </w:pPr>
          </w:p>
        </w:tc>
        <w:tc>
          <w:tcPr>
            <w:tcW w:w="0" w:type="auto"/>
            <w:vAlign w:val="center"/>
          </w:tcPr>
          <w:p w14:paraId="4135D541" w14:textId="7CD2E9B3" w:rsidR="00E1146D" w:rsidRPr="00E1146D" w:rsidRDefault="00E1146D" w:rsidP="00D9673D">
            <w:pPr>
              <w:keepNext/>
              <w:keepLines/>
              <w:jc w:val="center"/>
              <w:rPr>
                <w:rFonts w:ascii="Arial" w:hAnsi="Arial" w:cs="Arial"/>
                <w:sz w:val="18"/>
                <w:szCs w:val="18"/>
              </w:rPr>
            </w:pPr>
          </w:p>
        </w:tc>
        <w:tc>
          <w:tcPr>
            <w:tcW w:w="0" w:type="auto"/>
            <w:vAlign w:val="center"/>
          </w:tcPr>
          <w:p w14:paraId="494302F1" w14:textId="1E2B43C0" w:rsidR="00E1146D" w:rsidRPr="00E1146D" w:rsidRDefault="00E1146D" w:rsidP="00D9673D">
            <w:pPr>
              <w:keepNext/>
              <w:keepLines/>
              <w:jc w:val="center"/>
              <w:rPr>
                <w:rFonts w:ascii="Arial" w:hAnsi="Arial" w:cs="Arial"/>
                <w:sz w:val="18"/>
                <w:szCs w:val="18"/>
              </w:rPr>
            </w:pPr>
          </w:p>
        </w:tc>
        <w:tc>
          <w:tcPr>
            <w:tcW w:w="0" w:type="auto"/>
            <w:vAlign w:val="center"/>
          </w:tcPr>
          <w:p w14:paraId="2AD4B9B5" w14:textId="3700362E" w:rsidR="00E1146D" w:rsidRPr="00E1146D" w:rsidRDefault="00E1146D" w:rsidP="00D9673D">
            <w:pPr>
              <w:keepNext/>
              <w:keepLines/>
              <w:jc w:val="center"/>
              <w:rPr>
                <w:rFonts w:ascii="Arial" w:hAnsi="Arial" w:cs="Arial"/>
                <w:sz w:val="18"/>
                <w:szCs w:val="18"/>
              </w:rPr>
            </w:pPr>
          </w:p>
        </w:tc>
        <w:tc>
          <w:tcPr>
            <w:tcW w:w="0" w:type="auto"/>
            <w:vAlign w:val="center"/>
          </w:tcPr>
          <w:p w14:paraId="3DE52CA5" w14:textId="35B68B06" w:rsidR="00E1146D" w:rsidRPr="00E1146D" w:rsidRDefault="00E1146D" w:rsidP="00D9673D">
            <w:pPr>
              <w:keepNext/>
              <w:keepLines/>
              <w:jc w:val="center"/>
              <w:rPr>
                <w:rFonts w:ascii="Arial" w:hAnsi="Arial" w:cs="Arial"/>
                <w:sz w:val="18"/>
                <w:szCs w:val="18"/>
              </w:rPr>
            </w:pPr>
          </w:p>
        </w:tc>
      </w:tr>
      <w:tr w:rsidR="00E1146D" w14:paraId="0C44295F" w14:textId="77777777" w:rsidTr="00E1146D">
        <w:tc>
          <w:tcPr>
            <w:tcW w:w="0" w:type="auto"/>
          </w:tcPr>
          <w:p w14:paraId="21E6A506" w14:textId="2DE53A4B" w:rsidR="00E1146D" w:rsidRPr="00461403" w:rsidRDefault="00E1146D" w:rsidP="00D9673D">
            <w:pPr>
              <w:keepNext/>
              <w:keepLines/>
              <w:rPr>
                <w:rFonts w:ascii="Arial" w:hAnsi="Arial" w:cs="Arial"/>
                <w:sz w:val="18"/>
                <w:szCs w:val="18"/>
              </w:rPr>
            </w:pPr>
            <w:r w:rsidRPr="00461403">
              <w:rPr>
                <w:rFonts w:ascii="Arial" w:hAnsi="Arial" w:cs="Arial"/>
                <w:sz w:val="18"/>
                <w:szCs w:val="18"/>
              </w:rPr>
              <w:t>7/28/2014</w:t>
            </w:r>
          </w:p>
        </w:tc>
        <w:tc>
          <w:tcPr>
            <w:tcW w:w="0" w:type="auto"/>
            <w:vAlign w:val="center"/>
          </w:tcPr>
          <w:p w14:paraId="28559512" w14:textId="7A47429D" w:rsidR="00E1146D" w:rsidRPr="00E1146D" w:rsidRDefault="00E1146D" w:rsidP="00D9673D">
            <w:pPr>
              <w:keepNext/>
              <w:keepLines/>
              <w:jc w:val="center"/>
              <w:rPr>
                <w:rFonts w:ascii="Arial" w:hAnsi="Arial" w:cs="Arial"/>
                <w:sz w:val="18"/>
                <w:szCs w:val="18"/>
              </w:rPr>
            </w:pPr>
          </w:p>
        </w:tc>
        <w:tc>
          <w:tcPr>
            <w:tcW w:w="0" w:type="auto"/>
            <w:vAlign w:val="center"/>
          </w:tcPr>
          <w:p w14:paraId="7644AEB9" w14:textId="1B85E24C" w:rsidR="00E1146D" w:rsidRPr="00E1146D" w:rsidRDefault="00E1146D" w:rsidP="00D9673D">
            <w:pPr>
              <w:keepNext/>
              <w:keepLines/>
              <w:jc w:val="center"/>
              <w:rPr>
                <w:rFonts w:ascii="Arial" w:hAnsi="Arial" w:cs="Arial"/>
                <w:sz w:val="18"/>
                <w:szCs w:val="18"/>
              </w:rPr>
            </w:pPr>
          </w:p>
        </w:tc>
        <w:tc>
          <w:tcPr>
            <w:tcW w:w="0" w:type="auto"/>
            <w:vAlign w:val="center"/>
          </w:tcPr>
          <w:p w14:paraId="43EFF195" w14:textId="17470B36" w:rsidR="00E1146D" w:rsidRPr="00E1146D" w:rsidRDefault="00E1146D" w:rsidP="00D9673D">
            <w:pPr>
              <w:keepNext/>
              <w:keepLines/>
              <w:jc w:val="center"/>
              <w:rPr>
                <w:rFonts w:ascii="Arial" w:hAnsi="Arial" w:cs="Arial"/>
                <w:sz w:val="18"/>
                <w:szCs w:val="18"/>
              </w:rPr>
            </w:pPr>
          </w:p>
        </w:tc>
        <w:tc>
          <w:tcPr>
            <w:tcW w:w="0" w:type="auto"/>
            <w:vAlign w:val="center"/>
          </w:tcPr>
          <w:p w14:paraId="6713BD10" w14:textId="54B3F83C" w:rsidR="00E1146D" w:rsidRPr="00E1146D" w:rsidRDefault="00E1146D" w:rsidP="00D9673D">
            <w:pPr>
              <w:keepNext/>
              <w:keepLines/>
              <w:jc w:val="center"/>
              <w:rPr>
                <w:rFonts w:ascii="Arial" w:hAnsi="Arial" w:cs="Arial"/>
                <w:sz w:val="18"/>
                <w:szCs w:val="18"/>
              </w:rPr>
            </w:pPr>
          </w:p>
        </w:tc>
        <w:tc>
          <w:tcPr>
            <w:tcW w:w="0" w:type="auto"/>
            <w:vAlign w:val="center"/>
          </w:tcPr>
          <w:p w14:paraId="7B490A24" w14:textId="6D1834F1" w:rsidR="00E1146D" w:rsidRPr="00E1146D" w:rsidRDefault="00E1146D" w:rsidP="00D9673D">
            <w:pPr>
              <w:keepNext/>
              <w:keepLines/>
              <w:jc w:val="center"/>
              <w:rPr>
                <w:rFonts w:ascii="Arial" w:hAnsi="Arial" w:cs="Arial"/>
                <w:sz w:val="18"/>
                <w:szCs w:val="18"/>
              </w:rPr>
            </w:pPr>
          </w:p>
        </w:tc>
        <w:tc>
          <w:tcPr>
            <w:tcW w:w="0" w:type="auto"/>
            <w:vAlign w:val="center"/>
          </w:tcPr>
          <w:p w14:paraId="3C170688" w14:textId="2D4C8F0A" w:rsidR="00E1146D" w:rsidRPr="00E1146D" w:rsidRDefault="00E1146D" w:rsidP="00D9673D">
            <w:pPr>
              <w:keepNext/>
              <w:keepLines/>
              <w:jc w:val="center"/>
              <w:rPr>
                <w:rFonts w:ascii="Arial" w:hAnsi="Arial" w:cs="Arial"/>
                <w:sz w:val="18"/>
                <w:szCs w:val="18"/>
              </w:rPr>
            </w:pPr>
          </w:p>
        </w:tc>
        <w:tc>
          <w:tcPr>
            <w:tcW w:w="0" w:type="auto"/>
            <w:vAlign w:val="center"/>
          </w:tcPr>
          <w:p w14:paraId="5A626832" w14:textId="18A28171" w:rsidR="00E1146D" w:rsidRPr="00E1146D" w:rsidRDefault="00E1146D" w:rsidP="00D9673D">
            <w:pPr>
              <w:keepNext/>
              <w:keepLines/>
              <w:jc w:val="center"/>
              <w:rPr>
                <w:rFonts w:ascii="Arial" w:hAnsi="Arial" w:cs="Arial"/>
                <w:sz w:val="18"/>
                <w:szCs w:val="18"/>
              </w:rPr>
            </w:pPr>
          </w:p>
        </w:tc>
      </w:tr>
      <w:tr w:rsidR="00E1146D" w14:paraId="2DED1005" w14:textId="77777777" w:rsidTr="00E1146D">
        <w:tc>
          <w:tcPr>
            <w:tcW w:w="0" w:type="auto"/>
          </w:tcPr>
          <w:p w14:paraId="30A11C0C" w14:textId="4DFA0A10" w:rsidR="00E1146D" w:rsidRPr="00461403" w:rsidRDefault="00E1146D" w:rsidP="00D9673D">
            <w:pPr>
              <w:keepNext/>
              <w:keepLines/>
              <w:rPr>
                <w:rFonts w:ascii="Arial" w:hAnsi="Arial" w:cs="Arial"/>
                <w:sz w:val="18"/>
                <w:szCs w:val="18"/>
              </w:rPr>
            </w:pPr>
            <w:r w:rsidRPr="00461403">
              <w:rPr>
                <w:rFonts w:ascii="Arial" w:hAnsi="Arial" w:cs="Arial"/>
                <w:sz w:val="18"/>
                <w:szCs w:val="18"/>
              </w:rPr>
              <w:t>7/29/2014</w:t>
            </w:r>
          </w:p>
        </w:tc>
        <w:tc>
          <w:tcPr>
            <w:tcW w:w="0" w:type="auto"/>
            <w:vAlign w:val="center"/>
          </w:tcPr>
          <w:p w14:paraId="2FBDD0B3" w14:textId="07410E4C" w:rsidR="00E1146D" w:rsidRPr="00E1146D" w:rsidRDefault="00E1146D" w:rsidP="00D9673D">
            <w:pPr>
              <w:keepNext/>
              <w:keepLines/>
              <w:jc w:val="center"/>
              <w:rPr>
                <w:rFonts w:ascii="Arial" w:hAnsi="Arial" w:cs="Arial"/>
                <w:sz w:val="18"/>
                <w:szCs w:val="18"/>
              </w:rPr>
            </w:pPr>
          </w:p>
        </w:tc>
        <w:tc>
          <w:tcPr>
            <w:tcW w:w="0" w:type="auto"/>
            <w:vAlign w:val="center"/>
          </w:tcPr>
          <w:p w14:paraId="1FFC42CA" w14:textId="7E0E5789" w:rsidR="00E1146D" w:rsidRPr="00E1146D" w:rsidRDefault="00E1146D" w:rsidP="00D9673D">
            <w:pPr>
              <w:keepNext/>
              <w:keepLines/>
              <w:jc w:val="center"/>
              <w:rPr>
                <w:rFonts w:ascii="Arial" w:hAnsi="Arial" w:cs="Arial"/>
                <w:sz w:val="18"/>
                <w:szCs w:val="18"/>
              </w:rPr>
            </w:pPr>
          </w:p>
        </w:tc>
        <w:tc>
          <w:tcPr>
            <w:tcW w:w="0" w:type="auto"/>
            <w:vAlign w:val="center"/>
          </w:tcPr>
          <w:p w14:paraId="2B9AF81B" w14:textId="79BDB67A" w:rsidR="00E1146D" w:rsidRPr="00E1146D" w:rsidRDefault="00E1146D" w:rsidP="00D9673D">
            <w:pPr>
              <w:keepNext/>
              <w:keepLines/>
              <w:jc w:val="center"/>
              <w:rPr>
                <w:rFonts w:ascii="Arial" w:hAnsi="Arial" w:cs="Arial"/>
                <w:sz w:val="18"/>
                <w:szCs w:val="18"/>
              </w:rPr>
            </w:pPr>
          </w:p>
        </w:tc>
        <w:tc>
          <w:tcPr>
            <w:tcW w:w="0" w:type="auto"/>
            <w:vAlign w:val="center"/>
          </w:tcPr>
          <w:p w14:paraId="732CEA8A" w14:textId="65F81800" w:rsidR="00E1146D" w:rsidRPr="00E1146D" w:rsidRDefault="00E1146D" w:rsidP="00D9673D">
            <w:pPr>
              <w:keepNext/>
              <w:keepLines/>
              <w:jc w:val="center"/>
              <w:rPr>
                <w:rFonts w:ascii="Arial" w:hAnsi="Arial" w:cs="Arial"/>
                <w:sz w:val="18"/>
                <w:szCs w:val="18"/>
              </w:rPr>
            </w:pPr>
          </w:p>
        </w:tc>
        <w:tc>
          <w:tcPr>
            <w:tcW w:w="0" w:type="auto"/>
            <w:vAlign w:val="center"/>
          </w:tcPr>
          <w:p w14:paraId="1D2E9BF5" w14:textId="58CDB07A" w:rsidR="00E1146D" w:rsidRPr="00E1146D" w:rsidRDefault="00E1146D" w:rsidP="00D9673D">
            <w:pPr>
              <w:keepNext/>
              <w:keepLines/>
              <w:jc w:val="center"/>
              <w:rPr>
                <w:rFonts w:ascii="Arial" w:hAnsi="Arial" w:cs="Arial"/>
                <w:sz w:val="18"/>
                <w:szCs w:val="18"/>
              </w:rPr>
            </w:pPr>
          </w:p>
        </w:tc>
        <w:tc>
          <w:tcPr>
            <w:tcW w:w="0" w:type="auto"/>
            <w:vAlign w:val="center"/>
          </w:tcPr>
          <w:p w14:paraId="2021C82B" w14:textId="40BE1F90" w:rsidR="00E1146D" w:rsidRPr="00E1146D" w:rsidRDefault="00E1146D" w:rsidP="00D9673D">
            <w:pPr>
              <w:keepNext/>
              <w:keepLines/>
              <w:jc w:val="center"/>
              <w:rPr>
                <w:rFonts w:ascii="Arial" w:hAnsi="Arial" w:cs="Arial"/>
                <w:sz w:val="18"/>
                <w:szCs w:val="18"/>
              </w:rPr>
            </w:pPr>
          </w:p>
        </w:tc>
        <w:tc>
          <w:tcPr>
            <w:tcW w:w="0" w:type="auto"/>
            <w:vAlign w:val="center"/>
          </w:tcPr>
          <w:p w14:paraId="4B08DC02" w14:textId="1AD38C68" w:rsidR="00E1146D" w:rsidRPr="00E1146D" w:rsidRDefault="00E1146D" w:rsidP="00D9673D">
            <w:pPr>
              <w:keepNext/>
              <w:keepLines/>
              <w:jc w:val="center"/>
              <w:rPr>
                <w:rFonts w:ascii="Arial" w:hAnsi="Arial" w:cs="Arial"/>
                <w:sz w:val="18"/>
                <w:szCs w:val="18"/>
              </w:rPr>
            </w:pPr>
          </w:p>
        </w:tc>
      </w:tr>
      <w:tr w:rsidR="00E1146D" w14:paraId="0FF5CDFF" w14:textId="77777777" w:rsidTr="00E1146D">
        <w:tc>
          <w:tcPr>
            <w:tcW w:w="0" w:type="auto"/>
          </w:tcPr>
          <w:p w14:paraId="602B585F" w14:textId="0C60F835" w:rsidR="00E1146D" w:rsidRPr="00461403" w:rsidRDefault="00E1146D" w:rsidP="00D9673D">
            <w:pPr>
              <w:keepNext/>
              <w:keepLines/>
              <w:rPr>
                <w:rFonts w:ascii="Arial" w:hAnsi="Arial" w:cs="Arial"/>
                <w:sz w:val="18"/>
                <w:szCs w:val="18"/>
              </w:rPr>
            </w:pPr>
            <w:r w:rsidRPr="00461403">
              <w:rPr>
                <w:rFonts w:ascii="Arial" w:hAnsi="Arial" w:cs="Arial"/>
                <w:sz w:val="18"/>
                <w:szCs w:val="18"/>
              </w:rPr>
              <w:t>7/30/2014</w:t>
            </w:r>
          </w:p>
        </w:tc>
        <w:tc>
          <w:tcPr>
            <w:tcW w:w="0" w:type="auto"/>
            <w:vAlign w:val="center"/>
          </w:tcPr>
          <w:p w14:paraId="79EA2653" w14:textId="77C13435" w:rsidR="00E1146D" w:rsidRPr="00E1146D" w:rsidRDefault="00E1146D" w:rsidP="00D9673D">
            <w:pPr>
              <w:keepNext/>
              <w:keepLines/>
              <w:jc w:val="center"/>
              <w:rPr>
                <w:rFonts w:ascii="Arial" w:hAnsi="Arial" w:cs="Arial"/>
                <w:sz w:val="18"/>
                <w:szCs w:val="18"/>
              </w:rPr>
            </w:pPr>
          </w:p>
        </w:tc>
        <w:tc>
          <w:tcPr>
            <w:tcW w:w="0" w:type="auto"/>
            <w:vAlign w:val="center"/>
          </w:tcPr>
          <w:p w14:paraId="26CD3AFC" w14:textId="7AFDDAD6" w:rsidR="00E1146D" w:rsidRPr="00E1146D" w:rsidRDefault="00E1146D" w:rsidP="00D9673D">
            <w:pPr>
              <w:keepNext/>
              <w:keepLines/>
              <w:jc w:val="center"/>
              <w:rPr>
                <w:rFonts w:ascii="Arial" w:hAnsi="Arial" w:cs="Arial"/>
                <w:sz w:val="18"/>
                <w:szCs w:val="18"/>
              </w:rPr>
            </w:pPr>
          </w:p>
        </w:tc>
        <w:tc>
          <w:tcPr>
            <w:tcW w:w="0" w:type="auto"/>
            <w:vAlign w:val="center"/>
          </w:tcPr>
          <w:p w14:paraId="2A5CA0B4" w14:textId="60F6E6B7" w:rsidR="00E1146D" w:rsidRPr="00E1146D" w:rsidRDefault="00E1146D" w:rsidP="00D9673D">
            <w:pPr>
              <w:keepNext/>
              <w:keepLines/>
              <w:jc w:val="center"/>
              <w:rPr>
                <w:rFonts w:ascii="Arial" w:hAnsi="Arial" w:cs="Arial"/>
                <w:sz w:val="18"/>
                <w:szCs w:val="18"/>
              </w:rPr>
            </w:pPr>
          </w:p>
        </w:tc>
        <w:tc>
          <w:tcPr>
            <w:tcW w:w="0" w:type="auto"/>
            <w:vAlign w:val="center"/>
          </w:tcPr>
          <w:p w14:paraId="3E8DD3FC" w14:textId="53182958" w:rsidR="00E1146D" w:rsidRPr="00E1146D" w:rsidRDefault="00E1146D" w:rsidP="00D9673D">
            <w:pPr>
              <w:keepNext/>
              <w:keepLines/>
              <w:jc w:val="center"/>
              <w:rPr>
                <w:rFonts w:ascii="Arial" w:hAnsi="Arial" w:cs="Arial"/>
                <w:sz w:val="18"/>
                <w:szCs w:val="18"/>
              </w:rPr>
            </w:pPr>
          </w:p>
        </w:tc>
        <w:tc>
          <w:tcPr>
            <w:tcW w:w="0" w:type="auto"/>
            <w:vAlign w:val="center"/>
          </w:tcPr>
          <w:p w14:paraId="620A4608" w14:textId="3D006464" w:rsidR="00E1146D" w:rsidRPr="00E1146D" w:rsidRDefault="00E1146D" w:rsidP="00D9673D">
            <w:pPr>
              <w:keepNext/>
              <w:keepLines/>
              <w:jc w:val="center"/>
              <w:rPr>
                <w:rFonts w:ascii="Arial" w:hAnsi="Arial" w:cs="Arial"/>
                <w:sz w:val="18"/>
                <w:szCs w:val="18"/>
              </w:rPr>
            </w:pPr>
          </w:p>
        </w:tc>
        <w:tc>
          <w:tcPr>
            <w:tcW w:w="0" w:type="auto"/>
            <w:vAlign w:val="center"/>
          </w:tcPr>
          <w:p w14:paraId="3F2D98CB" w14:textId="2FAA8D6D" w:rsidR="00E1146D" w:rsidRPr="00E1146D" w:rsidRDefault="00E1146D" w:rsidP="00D9673D">
            <w:pPr>
              <w:keepNext/>
              <w:keepLines/>
              <w:jc w:val="center"/>
              <w:rPr>
                <w:rFonts w:ascii="Arial" w:hAnsi="Arial" w:cs="Arial"/>
                <w:sz w:val="18"/>
                <w:szCs w:val="18"/>
              </w:rPr>
            </w:pPr>
          </w:p>
        </w:tc>
        <w:tc>
          <w:tcPr>
            <w:tcW w:w="0" w:type="auto"/>
            <w:vAlign w:val="center"/>
          </w:tcPr>
          <w:p w14:paraId="534B6F33" w14:textId="65CE1FE5" w:rsidR="00E1146D" w:rsidRPr="00E1146D" w:rsidRDefault="00E1146D" w:rsidP="00D9673D">
            <w:pPr>
              <w:keepNext/>
              <w:keepLines/>
              <w:jc w:val="center"/>
              <w:rPr>
                <w:rFonts w:ascii="Arial" w:hAnsi="Arial" w:cs="Arial"/>
                <w:sz w:val="18"/>
                <w:szCs w:val="18"/>
              </w:rPr>
            </w:pPr>
          </w:p>
        </w:tc>
      </w:tr>
      <w:tr w:rsidR="00E1146D" w14:paraId="3F11AF8D" w14:textId="77777777" w:rsidTr="00E1146D">
        <w:tc>
          <w:tcPr>
            <w:tcW w:w="0" w:type="auto"/>
          </w:tcPr>
          <w:p w14:paraId="063EB477" w14:textId="7F1ECE69" w:rsidR="00E1146D" w:rsidRPr="00461403" w:rsidRDefault="00E1146D" w:rsidP="00D9673D">
            <w:pPr>
              <w:keepNext/>
              <w:keepLines/>
              <w:rPr>
                <w:rFonts w:ascii="Arial" w:hAnsi="Arial" w:cs="Arial"/>
                <w:sz w:val="18"/>
                <w:szCs w:val="18"/>
              </w:rPr>
            </w:pPr>
            <w:r w:rsidRPr="00461403">
              <w:rPr>
                <w:rFonts w:ascii="Arial" w:hAnsi="Arial" w:cs="Arial"/>
                <w:sz w:val="18"/>
                <w:szCs w:val="18"/>
              </w:rPr>
              <w:t>7/31/2014</w:t>
            </w:r>
          </w:p>
        </w:tc>
        <w:tc>
          <w:tcPr>
            <w:tcW w:w="0" w:type="auto"/>
            <w:vAlign w:val="center"/>
          </w:tcPr>
          <w:p w14:paraId="2E9DFB65" w14:textId="2476E0E4" w:rsidR="00E1146D" w:rsidRPr="00E1146D" w:rsidRDefault="00E1146D" w:rsidP="00D9673D">
            <w:pPr>
              <w:keepNext/>
              <w:keepLines/>
              <w:jc w:val="center"/>
              <w:rPr>
                <w:rFonts w:ascii="Arial" w:hAnsi="Arial" w:cs="Arial"/>
                <w:sz w:val="18"/>
                <w:szCs w:val="18"/>
              </w:rPr>
            </w:pPr>
          </w:p>
        </w:tc>
        <w:tc>
          <w:tcPr>
            <w:tcW w:w="0" w:type="auto"/>
            <w:vAlign w:val="center"/>
          </w:tcPr>
          <w:p w14:paraId="7DC21413" w14:textId="635A90EE" w:rsidR="00E1146D" w:rsidRPr="00E1146D" w:rsidRDefault="00E1146D" w:rsidP="00D9673D">
            <w:pPr>
              <w:keepNext/>
              <w:keepLines/>
              <w:jc w:val="center"/>
              <w:rPr>
                <w:rFonts w:ascii="Arial" w:hAnsi="Arial" w:cs="Arial"/>
                <w:sz w:val="18"/>
                <w:szCs w:val="18"/>
              </w:rPr>
            </w:pPr>
          </w:p>
        </w:tc>
        <w:tc>
          <w:tcPr>
            <w:tcW w:w="0" w:type="auto"/>
            <w:vAlign w:val="center"/>
          </w:tcPr>
          <w:p w14:paraId="19891A8F" w14:textId="6FB3E4B9" w:rsidR="00E1146D" w:rsidRPr="00E1146D" w:rsidRDefault="00E1146D" w:rsidP="00D9673D">
            <w:pPr>
              <w:keepNext/>
              <w:keepLines/>
              <w:jc w:val="center"/>
              <w:rPr>
                <w:rFonts w:ascii="Arial" w:hAnsi="Arial" w:cs="Arial"/>
                <w:sz w:val="18"/>
                <w:szCs w:val="18"/>
              </w:rPr>
            </w:pPr>
          </w:p>
        </w:tc>
        <w:tc>
          <w:tcPr>
            <w:tcW w:w="0" w:type="auto"/>
            <w:vAlign w:val="center"/>
          </w:tcPr>
          <w:p w14:paraId="3BCCAAF4" w14:textId="505533DF" w:rsidR="00E1146D" w:rsidRPr="00E1146D" w:rsidRDefault="00E1146D" w:rsidP="00D9673D">
            <w:pPr>
              <w:keepNext/>
              <w:keepLines/>
              <w:jc w:val="center"/>
              <w:rPr>
                <w:rFonts w:ascii="Arial" w:hAnsi="Arial" w:cs="Arial"/>
                <w:sz w:val="18"/>
                <w:szCs w:val="18"/>
              </w:rPr>
            </w:pPr>
          </w:p>
        </w:tc>
        <w:tc>
          <w:tcPr>
            <w:tcW w:w="0" w:type="auto"/>
            <w:vAlign w:val="center"/>
          </w:tcPr>
          <w:p w14:paraId="35C725AA" w14:textId="3C2E1E82" w:rsidR="00E1146D" w:rsidRPr="00E1146D" w:rsidRDefault="00E1146D" w:rsidP="00D9673D">
            <w:pPr>
              <w:keepNext/>
              <w:keepLines/>
              <w:jc w:val="center"/>
              <w:rPr>
                <w:rFonts w:ascii="Arial" w:hAnsi="Arial" w:cs="Arial"/>
                <w:sz w:val="18"/>
                <w:szCs w:val="18"/>
              </w:rPr>
            </w:pPr>
          </w:p>
        </w:tc>
        <w:tc>
          <w:tcPr>
            <w:tcW w:w="0" w:type="auto"/>
            <w:vAlign w:val="center"/>
          </w:tcPr>
          <w:p w14:paraId="33FCA820" w14:textId="018A92CB" w:rsidR="00E1146D" w:rsidRPr="00E1146D" w:rsidRDefault="00E1146D" w:rsidP="00D9673D">
            <w:pPr>
              <w:keepNext/>
              <w:keepLines/>
              <w:jc w:val="center"/>
              <w:rPr>
                <w:rFonts w:ascii="Arial" w:hAnsi="Arial" w:cs="Arial"/>
                <w:sz w:val="18"/>
                <w:szCs w:val="18"/>
              </w:rPr>
            </w:pPr>
          </w:p>
        </w:tc>
        <w:tc>
          <w:tcPr>
            <w:tcW w:w="0" w:type="auto"/>
            <w:vAlign w:val="center"/>
          </w:tcPr>
          <w:p w14:paraId="7ECAA465" w14:textId="49FCC7D2" w:rsidR="00E1146D" w:rsidRPr="00E1146D" w:rsidRDefault="00E1146D" w:rsidP="00D9673D">
            <w:pPr>
              <w:keepNext/>
              <w:keepLines/>
              <w:jc w:val="center"/>
              <w:rPr>
                <w:rFonts w:ascii="Arial" w:hAnsi="Arial" w:cs="Arial"/>
                <w:sz w:val="18"/>
                <w:szCs w:val="18"/>
              </w:rPr>
            </w:pPr>
          </w:p>
        </w:tc>
      </w:tr>
      <w:tr w:rsidR="00E1146D" w14:paraId="7E064B16" w14:textId="77777777" w:rsidTr="00E1146D">
        <w:tc>
          <w:tcPr>
            <w:tcW w:w="0" w:type="auto"/>
          </w:tcPr>
          <w:p w14:paraId="647889E7" w14:textId="5BE18515" w:rsidR="00E1146D" w:rsidRPr="00461403" w:rsidRDefault="00E1146D" w:rsidP="00D9673D">
            <w:pPr>
              <w:keepNext/>
              <w:keepLines/>
              <w:rPr>
                <w:rFonts w:ascii="Arial" w:hAnsi="Arial" w:cs="Arial"/>
                <w:sz w:val="18"/>
                <w:szCs w:val="18"/>
              </w:rPr>
            </w:pPr>
            <w:r w:rsidRPr="00461403">
              <w:rPr>
                <w:rFonts w:ascii="Arial" w:hAnsi="Arial" w:cs="Arial"/>
                <w:sz w:val="18"/>
                <w:szCs w:val="18"/>
              </w:rPr>
              <w:t>8/1/2014</w:t>
            </w:r>
          </w:p>
        </w:tc>
        <w:tc>
          <w:tcPr>
            <w:tcW w:w="0" w:type="auto"/>
            <w:vAlign w:val="center"/>
          </w:tcPr>
          <w:p w14:paraId="7F4F3F00" w14:textId="4AE9FD60" w:rsidR="00E1146D" w:rsidRPr="00E1146D" w:rsidRDefault="00E1146D" w:rsidP="00D9673D">
            <w:pPr>
              <w:keepNext/>
              <w:keepLines/>
              <w:jc w:val="center"/>
              <w:rPr>
                <w:rFonts w:ascii="Arial" w:hAnsi="Arial" w:cs="Arial"/>
                <w:sz w:val="18"/>
                <w:szCs w:val="18"/>
              </w:rPr>
            </w:pPr>
          </w:p>
        </w:tc>
        <w:tc>
          <w:tcPr>
            <w:tcW w:w="0" w:type="auto"/>
            <w:vAlign w:val="center"/>
          </w:tcPr>
          <w:p w14:paraId="1E30EC45" w14:textId="271E27CF" w:rsidR="00E1146D" w:rsidRPr="00E1146D" w:rsidRDefault="00E1146D" w:rsidP="00D9673D">
            <w:pPr>
              <w:keepNext/>
              <w:keepLines/>
              <w:jc w:val="center"/>
              <w:rPr>
                <w:rFonts w:ascii="Arial" w:hAnsi="Arial" w:cs="Arial"/>
                <w:sz w:val="18"/>
                <w:szCs w:val="18"/>
              </w:rPr>
            </w:pPr>
          </w:p>
        </w:tc>
        <w:tc>
          <w:tcPr>
            <w:tcW w:w="0" w:type="auto"/>
            <w:vAlign w:val="center"/>
          </w:tcPr>
          <w:p w14:paraId="55E4E3EA" w14:textId="2E023E56" w:rsidR="00E1146D" w:rsidRPr="00E1146D" w:rsidRDefault="00E1146D" w:rsidP="00D9673D">
            <w:pPr>
              <w:keepNext/>
              <w:keepLines/>
              <w:jc w:val="center"/>
              <w:rPr>
                <w:rFonts w:ascii="Arial" w:hAnsi="Arial" w:cs="Arial"/>
                <w:sz w:val="18"/>
                <w:szCs w:val="18"/>
              </w:rPr>
            </w:pPr>
          </w:p>
        </w:tc>
        <w:tc>
          <w:tcPr>
            <w:tcW w:w="0" w:type="auto"/>
            <w:vAlign w:val="center"/>
          </w:tcPr>
          <w:p w14:paraId="49086179" w14:textId="7672D27F" w:rsidR="00E1146D" w:rsidRPr="00E1146D" w:rsidRDefault="00E1146D" w:rsidP="00D9673D">
            <w:pPr>
              <w:keepNext/>
              <w:keepLines/>
              <w:jc w:val="center"/>
              <w:rPr>
                <w:rFonts w:ascii="Arial" w:hAnsi="Arial" w:cs="Arial"/>
                <w:sz w:val="18"/>
                <w:szCs w:val="18"/>
              </w:rPr>
            </w:pPr>
          </w:p>
        </w:tc>
        <w:tc>
          <w:tcPr>
            <w:tcW w:w="0" w:type="auto"/>
            <w:vAlign w:val="center"/>
          </w:tcPr>
          <w:p w14:paraId="61903426" w14:textId="23E72B3F" w:rsidR="00E1146D" w:rsidRPr="00E1146D" w:rsidRDefault="00E1146D" w:rsidP="00D9673D">
            <w:pPr>
              <w:keepNext/>
              <w:keepLines/>
              <w:jc w:val="center"/>
              <w:rPr>
                <w:rFonts w:ascii="Arial" w:hAnsi="Arial" w:cs="Arial"/>
                <w:sz w:val="18"/>
                <w:szCs w:val="18"/>
              </w:rPr>
            </w:pPr>
          </w:p>
        </w:tc>
        <w:tc>
          <w:tcPr>
            <w:tcW w:w="0" w:type="auto"/>
            <w:vAlign w:val="center"/>
          </w:tcPr>
          <w:p w14:paraId="742D83CC" w14:textId="768693F6" w:rsidR="00E1146D" w:rsidRPr="00E1146D" w:rsidRDefault="00E1146D" w:rsidP="00D9673D">
            <w:pPr>
              <w:keepNext/>
              <w:keepLines/>
              <w:jc w:val="center"/>
              <w:rPr>
                <w:rFonts w:ascii="Arial" w:hAnsi="Arial" w:cs="Arial"/>
                <w:sz w:val="18"/>
                <w:szCs w:val="18"/>
              </w:rPr>
            </w:pPr>
          </w:p>
        </w:tc>
        <w:tc>
          <w:tcPr>
            <w:tcW w:w="0" w:type="auto"/>
            <w:vAlign w:val="center"/>
          </w:tcPr>
          <w:p w14:paraId="11261BD4" w14:textId="7F9E49EA" w:rsidR="00E1146D" w:rsidRPr="00E1146D" w:rsidRDefault="00E1146D" w:rsidP="00D9673D">
            <w:pPr>
              <w:keepNext/>
              <w:keepLines/>
              <w:jc w:val="center"/>
              <w:rPr>
                <w:rFonts w:ascii="Arial" w:hAnsi="Arial" w:cs="Arial"/>
                <w:sz w:val="18"/>
                <w:szCs w:val="18"/>
              </w:rPr>
            </w:pPr>
          </w:p>
        </w:tc>
      </w:tr>
      <w:tr w:rsidR="00E1146D" w14:paraId="13BCD66D" w14:textId="77777777" w:rsidTr="00E1146D">
        <w:tc>
          <w:tcPr>
            <w:tcW w:w="0" w:type="auto"/>
          </w:tcPr>
          <w:p w14:paraId="7FE1BDDD" w14:textId="75BB690B" w:rsidR="00E1146D" w:rsidRPr="00461403" w:rsidRDefault="00E1146D" w:rsidP="00D9673D">
            <w:pPr>
              <w:keepNext/>
              <w:keepLines/>
              <w:rPr>
                <w:rFonts w:ascii="Arial" w:hAnsi="Arial" w:cs="Arial"/>
                <w:sz w:val="18"/>
                <w:szCs w:val="18"/>
              </w:rPr>
            </w:pPr>
            <w:r w:rsidRPr="00461403">
              <w:rPr>
                <w:rFonts w:ascii="Arial" w:hAnsi="Arial" w:cs="Arial"/>
                <w:sz w:val="18"/>
                <w:szCs w:val="18"/>
              </w:rPr>
              <w:t>9/12/2014</w:t>
            </w:r>
          </w:p>
        </w:tc>
        <w:tc>
          <w:tcPr>
            <w:tcW w:w="0" w:type="auto"/>
            <w:vAlign w:val="center"/>
          </w:tcPr>
          <w:p w14:paraId="123DB369" w14:textId="49E2EE39" w:rsidR="00E1146D" w:rsidRPr="00E1146D" w:rsidRDefault="00E1146D" w:rsidP="00D9673D">
            <w:pPr>
              <w:keepNext/>
              <w:keepLines/>
              <w:jc w:val="center"/>
              <w:rPr>
                <w:rFonts w:ascii="Arial" w:hAnsi="Arial" w:cs="Arial"/>
                <w:sz w:val="18"/>
                <w:szCs w:val="18"/>
              </w:rPr>
            </w:pPr>
          </w:p>
        </w:tc>
        <w:tc>
          <w:tcPr>
            <w:tcW w:w="0" w:type="auto"/>
            <w:vAlign w:val="center"/>
          </w:tcPr>
          <w:p w14:paraId="64187AD0" w14:textId="1355491F" w:rsidR="00E1146D" w:rsidRPr="00E1146D" w:rsidRDefault="00E1146D" w:rsidP="00D9673D">
            <w:pPr>
              <w:keepNext/>
              <w:keepLines/>
              <w:jc w:val="center"/>
              <w:rPr>
                <w:rFonts w:ascii="Arial" w:hAnsi="Arial" w:cs="Arial"/>
                <w:sz w:val="18"/>
                <w:szCs w:val="18"/>
              </w:rPr>
            </w:pPr>
          </w:p>
        </w:tc>
        <w:tc>
          <w:tcPr>
            <w:tcW w:w="0" w:type="auto"/>
            <w:vAlign w:val="center"/>
          </w:tcPr>
          <w:p w14:paraId="1A2C7C32" w14:textId="28B06D13" w:rsidR="00E1146D" w:rsidRPr="00E1146D" w:rsidRDefault="00E1146D" w:rsidP="00D9673D">
            <w:pPr>
              <w:keepNext/>
              <w:keepLines/>
              <w:jc w:val="center"/>
              <w:rPr>
                <w:rFonts w:ascii="Arial" w:hAnsi="Arial" w:cs="Arial"/>
                <w:sz w:val="18"/>
                <w:szCs w:val="18"/>
              </w:rPr>
            </w:pPr>
          </w:p>
        </w:tc>
        <w:tc>
          <w:tcPr>
            <w:tcW w:w="0" w:type="auto"/>
            <w:vAlign w:val="center"/>
          </w:tcPr>
          <w:p w14:paraId="37A53C97" w14:textId="49825980" w:rsidR="00E1146D" w:rsidRPr="00E1146D" w:rsidRDefault="00E1146D" w:rsidP="00D9673D">
            <w:pPr>
              <w:keepNext/>
              <w:keepLines/>
              <w:jc w:val="center"/>
              <w:rPr>
                <w:rFonts w:ascii="Arial" w:hAnsi="Arial" w:cs="Arial"/>
                <w:sz w:val="18"/>
                <w:szCs w:val="18"/>
              </w:rPr>
            </w:pPr>
          </w:p>
        </w:tc>
        <w:tc>
          <w:tcPr>
            <w:tcW w:w="0" w:type="auto"/>
            <w:vAlign w:val="center"/>
          </w:tcPr>
          <w:p w14:paraId="5912500F" w14:textId="35744B87" w:rsidR="00E1146D" w:rsidRPr="00E1146D" w:rsidRDefault="00E1146D" w:rsidP="00D9673D">
            <w:pPr>
              <w:keepNext/>
              <w:keepLines/>
              <w:jc w:val="center"/>
              <w:rPr>
                <w:rFonts w:ascii="Arial" w:hAnsi="Arial" w:cs="Arial"/>
                <w:sz w:val="18"/>
                <w:szCs w:val="18"/>
              </w:rPr>
            </w:pPr>
          </w:p>
        </w:tc>
        <w:tc>
          <w:tcPr>
            <w:tcW w:w="0" w:type="auto"/>
            <w:vAlign w:val="center"/>
          </w:tcPr>
          <w:p w14:paraId="2E963C2C" w14:textId="53F9E934" w:rsidR="00E1146D" w:rsidRPr="00E1146D" w:rsidRDefault="00E1146D" w:rsidP="00D9673D">
            <w:pPr>
              <w:keepNext/>
              <w:keepLines/>
              <w:jc w:val="center"/>
              <w:rPr>
                <w:rFonts w:ascii="Arial" w:hAnsi="Arial" w:cs="Arial"/>
                <w:sz w:val="18"/>
                <w:szCs w:val="18"/>
              </w:rPr>
            </w:pPr>
          </w:p>
        </w:tc>
        <w:tc>
          <w:tcPr>
            <w:tcW w:w="0" w:type="auto"/>
            <w:vAlign w:val="center"/>
          </w:tcPr>
          <w:p w14:paraId="548F2CF7" w14:textId="0DAA292A" w:rsidR="00E1146D" w:rsidRPr="00E1146D" w:rsidRDefault="00E1146D" w:rsidP="00D9673D">
            <w:pPr>
              <w:keepNext/>
              <w:keepLines/>
              <w:jc w:val="center"/>
              <w:rPr>
                <w:rFonts w:ascii="Arial" w:hAnsi="Arial" w:cs="Arial"/>
                <w:sz w:val="18"/>
                <w:szCs w:val="18"/>
              </w:rPr>
            </w:pPr>
          </w:p>
        </w:tc>
      </w:tr>
      <w:tr w:rsidR="00E1146D" w14:paraId="534ABDAE" w14:textId="77777777" w:rsidTr="00E1146D">
        <w:tc>
          <w:tcPr>
            <w:tcW w:w="0" w:type="auto"/>
          </w:tcPr>
          <w:p w14:paraId="2CA487D1" w14:textId="3C0EFF61" w:rsidR="00E1146D" w:rsidRPr="00461403" w:rsidRDefault="00E1146D" w:rsidP="00D9673D">
            <w:pPr>
              <w:keepNext/>
              <w:keepLines/>
              <w:rPr>
                <w:rFonts w:ascii="Arial" w:hAnsi="Arial" w:cs="Arial"/>
                <w:sz w:val="18"/>
                <w:szCs w:val="18"/>
              </w:rPr>
            </w:pPr>
            <w:r w:rsidRPr="00461403">
              <w:rPr>
                <w:rFonts w:ascii="Arial" w:hAnsi="Arial" w:cs="Arial"/>
                <w:sz w:val="18"/>
                <w:szCs w:val="18"/>
              </w:rPr>
              <w:t>9/15/2014</w:t>
            </w:r>
          </w:p>
        </w:tc>
        <w:tc>
          <w:tcPr>
            <w:tcW w:w="0" w:type="auto"/>
            <w:vAlign w:val="center"/>
          </w:tcPr>
          <w:p w14:paraId="3EFB3292" w14:textId="7F38B5E1" w:rsidR="00E1146D" w:rsidRPr="00E1146D" w:rsidRDefault="00E1146D" w:rsidP="00D9673D">
            <w:pPr>
              <w:keepNext/>
              <w:keepLines/>
              <w:jc w:val="center"/>
              <w:rPr>
                <w:rFonts w:ascii="Arial" w:hAnsi="Arial" w:cs="Arial"/>
                <w:sz w:val="18"/>
                <w:szCs w:val="18"/>
              </w:rPr>
            </w:pPr>
          </w:p>
        </w:tc>
        <w:tc>
          <w:tcPr>
            <w:tcW w:w="0" w:type="auto"/>
            <w:vAlign w:val="center"/>
          </w:tcPr>
          <w:p w14:paraId="45CFD61E" w14:textId="4C2D418E" w:rsidR="00E1146D" w:rsidRPr="00E1146D" w:rsidRDefault="00E1146D" w:rsidP="00D9673D">
            <w:pPr>
              <w:keepNext/>
              <w:keepLines/>
              <w:jc w:val="center"/>
              <w:rPr>
                <w:rFonts w:ascii="Arial" w:hAnsi="Arial" w:cs="Arial"/>
                <w:sz w:val="18"/>
                <w:szCs w:val="18"/>
              </w:rPr>
            </w:pPr>
          </w:p>
        </w:tc>
        <w:tc>
          <w:tcPr>
            <w:tcW w:w="0" w:type="auto"/>
            <w:vAlign w:val="center"/>
          </w:tcPr>
          <w:p w14:paraId="515616E3" w14:textId="4A918878" w:rsidR="00E1146D" w:rsidRPr="00E1146D" w:rsidRDefault="00E1146D" w:rsidP="00D9673D">
            <w:pPr>
              <w:keepNext/>
              <w:keepLines/>
              <w:jc w:val="center"/>
              <w:rPr>
                <w:rFonts w:ascii="Arial" w:hAnsi="Arial" w:cs="Arial"/>
                <w:sz w:val="18"/>
                <w:szCs w:val="18"/>
              </w:rPr>
            </w:pPr>
          </w:p>
        </w:tc>
        <w:tc>
          <w:tcPr>
            <w:tcW w:w="0" w:type="auto"/>
            <w:vAlign w:val="center"/>
          </w:tcPr>
          <w:p w14:paraId="6EB8E212" w14:textId="3A1B762E" w:rsidR="00E1146D" w:rsidRPr="00E1146D" w:rsidRDefault="00E1146D" w:rsidP="00D9673D">
            <w:pPr>
              <w:keepNext/>
              <w:keepLines/>
              <w:jc w:val="center"/>
              <w:rPr>
                <w:rFonts w:ascii="Arial" w:hAnsi="Arial" w:cs="Arial"/>
                <w:sz w:val="18"/>
                <w:szCs w:val="18"/>
              </w:rPr>
            </w:pPr>
          </w:p>
        </w:tc>
        <w:tc>
          <w:tcPr>
            <w:tcW w:w="0" w:type="auto"/>
            <w:vAlign w:val="center"/>
          </w:tcPr>
          <w:p w14:paraId="45C5C40D" w14:textId="793324E6" w:rsidR="00E1146D" w:rsidRPr="00E1146D" w:rsidRDefault="00E1146D" w:rsidP="00D9673D">
            <w:pPr>
              <w:keepNext/>
              <w:keepLines/>
              <w:jc w:val="center"/>
              <w:rPr>
                <w:rFonts w:ascii="Arial" w:hAnsi="Arial" w:cs="Arial"/>
                <w:sz w:val="18"/>
                <w:szCs w:val="18"/>
              </w:rPr>
            </w:pPr>
          </w:p>
        </w:tc>
        <w:tc>
          <w:tcPr>
            <w:tcW w:w="0" w:type="auto"/>
            <w:vAlign w:val="center"/>
          </w:tcPr>
          <w:p w14:paraId="4EFEF5C5" w14:textId="3C2F2F37" w:rsidR="00E1146D" w:rsidRPr="00E1146D" w:rsidRDefault="00E1146D" w:rsidP="00D9673D">
            <w:pPr>
              <w:keepNext/>
              <w:keepLines/>
              <w:jc w:val="center"/>
              <w:rPr>
                <w:rFonts w:ascii="Arial" w:hAnsi="Arial" w:cs="Arial"/>
                <w:sz w:val="18"/>
                <w:szCs w:val="18"/>
              </w:rPr>
            </w:pPr>
          </w:p>
        </w:tc>
        <w:tc>
          <w:tcPr>
            <w:tcW w:w="0" w:type="auto"/>
            <w:vAlign w:val="center"/>
          </w:tcPr>
          <w:p w14:paraId="2627789C" w14:textId="21D9D0E2" w:rsidR="00E1146D" w:rsidRPr="00E1146D" w:rsidRDefault="00E1146D" w:rsidP="00D9673D">
            <w:pPr>
              <w:keepNext/>
              <w:keepLines/>
              <w:jc w:val="center"/>
              <w:rPr>
                <w:rFonts w:ascii="Arial" w:hAnsi="Arial" w:cs="Arial"/>
                <w:sz w:val="18"/>
                <w:szCs w:val="18"/>
              </w:rPr>
            </w:pPr>
          </w:p>
        </w:tc>
      </w:tr>
      <w:tr w:rsidR="00E1146D" w14:paraId="772C495E" w14:textId="77777777" w:rsidTr="00E1146D">
        <w:tc>
          <w:tcPr>
            <w:tcW w:w="0" w:type="auto"/>
          </w:tcPr>
          <w:p w14:paraId="755BA136" w14:textId="01420D7C" w:rsidR="00E1146D" w:rsidRPr="00461403" w:rsidRDefault="00E1146D" w:rsidP="00D9673D">
            <w:pPr>
              <w:keepNext/>
              <w:keepLines/>
              <w:rPr>
                <w:rFonts w:ascii="Arial" w:hAnsi="Arial" w:cs="Arial"/>
                <w:sz w:val="18"/>
                <w:szCs w:val="18"/>
              </w:rPr>
            </w:pPr>
            <w:r w:rsidRPr="00461403">
              <w:rPr>
                <w:rFonts w:ascii="Arial" w:hAnsi="Arial" w:cs="Arial"/>
                <w:sz w:val="18"/>
                <w:szCs w:val="18"/>
              </w:rPr>
              <w:t>9/16/2014</w:t>
            </w:r>
          </w:p>
        </w:tc>
        <w:tc>
          <w:tcPr>
            <w:tcW w:w="0" w:type="auto"/>
            <w:vAlign w:val="center"/>
          </w:tcPr>
          <w:p w14:paraId="57448F20" w14:textId="0AE06E1E" w:rsidR="00E1146D" w:rsidRPr="00E1146D" w:rsidRDefault="00E1146D" w:rsidP="00D9673D">
            <w:pPr>
              <w:keepNext/>
              <w:keepLines/>
              <w:jc w:val="center"/>
              <w:rPr>
                <w:rFonts w:ascii="Arial" w:hAnsi="Arial" w:cs="Arial"/>
                <w:sz w:val="18"/>
                <w:szCs w:val="18"/>
              </w:rPr>
            </w:pPr>
          </w:p>
        </w:tc>
        <w:tc>
          <w:tcPr>
            <w:tcW w:w="0" w:type="auto"/>
            <w:vAlign w:val="center"/>
          </w:tcPr>
          <w:p w14:paraId="7C3397DC" w14:textId="2E799F49" w:rsidR="00E1146D" w:rsidRPr="00E1146D" w:rsidRDefault="00E1146D" w:rsidP="00D9673D">
            <w:pPr>
              <w:keepNext/>
              <w:keepLines/>
              <w:jc w:val="center"/>
              <w:rPr>
                <w:rFonts w:ascii="Arial" w:hAnsi="Arial" w:cs="Arial"/>
                <w:sz w:val="18"/>
                <w:szCs w:val="18"/>
              </w:rPr>
            </w:pPr>
          </w:p>
        </w:tc>
        <w:tc>
          <w:tcPr>
            <w:tcW w:w="0" w:type="auto"/>
            <w:vAlign w:val="center"/>
          </w:tcPr>
          <w:p w14:paraId="6255DFEF" w14:textId="2E488095" w:rsidR="00E1146D" w:rsidRPr="00E1146D" w:rsidRDefault="00E1146D" w:rsidP="00D9673D">
            <w:pPr>
              <w:keepNext/>
              <w:keepLines/>
              <w:jc w:val="center"/>
              <w:rPr>
                <w:rFonts w:ascii="Arial" w:hAnsi="Arial" w:cs="Arial"/>
                <w:sz w:val="18"/>
                <w:szCs w:val="18"/>
              </w:rPr>
            </w:pPr>
          </w:p>
        </w:tc>
        <w:tc>
          <w:tcPr>
            <w:tcW w:w="0" w:type="auto"/>
            <w:vAlign w:val="center"/>
          </w:tcPr>
          <w:p w14:paraId="137CCE56" w14:textId="1AC5B8A0" w:rsidR="00E1146D" w:rsidRPr="00E1146D" w:rsidRDefault="00E1146D" w:rsidP="00D9673D">
            <w:pPr>
              <w:keepNext/>
              <w:keepLines/>
              <w:jc w:val="center"/>
              <w:rPr>
                <w:rFonts w:ascii="Arial" w:hAnsi="Arial" w:cs="Arial"/>
                <w:sz w:val="18"/>
                <w:szCs w:val="18"/>
              </w:rPr>
            </w:pPr>
          </w:p>
        </w:tc>
        <w:tc>
          <w:tcPr>
            <w:tcW w:w="0" w:type="auto"/>
            <w:vAlign w:val="center"/>
          </w:tcPr>
          <w:p w14:paraId="36046C0B" w14:textId="3EE9649D" w:rsidR="00E1146D" w:rsidRPr="00E1146D" w:rsidRDefault="00E1146D" w:rsidP="00D9673D">
            <w:pPr>
              <w:keepNext/>
              <w:keepLines/>
              <w:jc w:val="center"/>
              <w:rPr>
                <w:rFonts w:ascii="Arial" w:hAnsi="Arial" w:cs="Arial"/>
                <w:sz w:val="18"/>
                <w:szCs w:val="18"/>
              </w:rPr>
            </w:pPr>
          </w:p>
        </w:tc>
        <w:tc>
          <w:tcPr>
            <w:tcW w:w="0" w:type="auto"/>
            <w:vAlign w:val="center"/>
          </w:tcPr>
          <w:p w14:paraId="62B1C1AD" w14:textId="36F061EC" w:rsidR="00E1146D" w:rsidRPr="00E1146D" w:rsidRDefault="00E1146D" w:rsidP="00D9673D">
            <w:pPr>
              <w:keepNext/>
              <w:keepLines/>
              <w:jc w:val="center"/>
              <w:rPr>
                <w:rFonts w:ascii="Arial" w:hAnsi="Arial" w:cs="Arial"/>
                <w:sz w:val="18"/>
                <w:szCs w:val="18"/>
              </w:rPr>
            </w:pPr>
          </w:p>
        </w:tc>
        <w:tc>
          <w:tcPr>
            <w:tcW w:w="0" w:type="auto"/>
            <w:vAlign w:val="center"/>
          </w:tcPr>
          <w:p w14:paraId="58600853" w14:textId="3DA67C03" w:rsidR="00E1146D" w:rsidRPr="00E1146D" w:rsidRDefault="00E1146D" w:rsidP="00D9673D">
            <w:pPr>
              <w:keepNext/>
              <w:keepLines/>
              <w:jc w:val="center"/>
              <w:rPr>
                <w:rFonts w:ascii="Arial" w:hAnsi="Arial" w:cs="Arial"/>
                <w:sz w:val="18"/>
                <w:szCs w:val="18"/>
              </w:rPr>
            </w:pPr>
          </w:p>
        </w:tc>
      </w:tr>
      <w:tr w:rsidR="00E1146D" w14:paraId="13E0DC08" w14:textId="77777777" w:rsidTr="00E1146D">
        <w:tc>
          <w:tcPr>
            <w:tcW w:w="0" w:type="auto"/>
            <w:vAlign w:val="center"/>
          </w:tcPr>
          <w:p w14:paraId="79078698" w14:textId="77777777" w:rsidR="00E1146D" w:rsidRPr="00F55948" w:rsidRDefault="00E1146D" w:rsidP="00D9673D">
            <w:pPr>
              <w:keepNext/>
              <w:keepLines/>
              <w:rPr>
                <w:rFonts w:ascii="Arial" w:hAnsi="Arial" w:cs="Arial"/>
                <w:sz w:val="18"/>
                <w:szCs w:val="18"/>
              </w:rPr>
            </w:pPr>
            <w:r w:rsidRPr="00F55948">
              <w:rPr>
                <w:rFonts w:ascii="Arial" w:hAnsi="Arial" w:cs="Arial"/>
                <w:b/>
                <w:sz w:val="18"/>
                <w:szCs w:val="18"/>
              </w:rPr>
              <w:t>Average when all called</w:t>
            </w:r>
          </w:p>
        </w:tc>
        <w:tc>
          <w:tcPr>
            <w:tcW w:w="0" w:type="auto"/>
            <w:vAlign w:val="center"/>
          </w:tcPr>
          <w:p w14:paraId="30C36157" w14:textId="0BFF50CE" w:rsidR="00E1146D" w:rsidRPr="00E1146D" w:rsidRDefault="00E1146D" w:rsidP="00D9673D">
            <w:pPr>
              <w:keepNext/>
              <w:keepLines/>
              <w:jc w:val="center"/>
              <w:rPr>
                <w:rFonts w:ascii="Arial" w:hAnsi="Arial" w:cs="Arial"/>
                <w:b/>
                <w:sz w:val="18"/>
                <w:szCs w:val="18"/>
              </w:rPr>
            </w:pPr>
          </w:p>
        </w:tc>
        <w:tc>
          <w:tcPr>
            <w:tcW w:w="0" w:type="auto"/>
            <w:vAlign w:val="center"/>
          </w:tcPr>
          <w:p w14:paraId="527A24A4" w14:textId="72A0558F" w:rsidR="00E1146D" w:rsidRPr="00E1146D" w:rsidRDefault="00E1146D" w:rsidP="00D9673D">
            <w:pPr>
              <w:keepNext/>
              <w:keepLines/>
              <w:jc w:val="center"/>
              <w:rPr>
                <w:rFonts w:ascii="Arial" w:hAnsi="Arial" w:cs="Arial"/>
                <w:b/>
                <w:sz w:val="18"/>
                <w:szCs w:val="18"/>
              </w:rPr>
            </w:pPr>
          </w:p>
        </w:tc>
        <w:tc>
          <w:tcPr>
            <w:tcW w:w="0" w:type="auto"/>
            <w:vAlign w:val="center"/>
          </w:tcPr>
          <w:p w14:paraId="32DC7FD8" w14:textId="59036757" w:rsidR="00E1146D" w:rsidRPr="00E1146D" w:rsidRDefault="00E1146D" w:rsidP="00D9673D">
            <w:pPr>
              <w:keepNext/>
              <w:keepLines/>
              <w:jc w:val="center"/>
              <w:rPr>
                <w:rFonts w:ascii="Arial" w:hAnsi="Arial" w:cs="Arial"/>
                <w:b/>
                <w:sz w:val="18"/>
                <w:szCs w:val="18"/>
              </w:rPr>
            </w:pPr>
          </w:p>
        </w:tc>
        <w:tc>
          <w:tcPr>
            <w:tcW w:w="0" w:type="auto"/>
            <w:vAlign w:val="center"/>
          </w:tcPr>
          <w:p w14:paraId="50215A42" w14:textId="0808E9F1" w:rsidR="00E1146D" w:rsidRPr="00E1146D" w:rsidRDefault="00E1146D" w:rsidP="00D9673D">
            <w:pPr>
              <w:keepNext/>
              <w:keepLines/>
              <w:jc w:val="center"/>
              <w:rPr>
                <w:rFonts w:ascii="Arial" w:hAnsi="Arial" w:cs="Arial"/>
                <w:b/>
                <w:sz w:val="18"/>
                <w:szCs w:val="18"/>
              </w:rPr>
            </w:pPr>
          </w:p>
        </w:tc>
        <w:tc>
          <w:tcPr>
            <w:tcW w:w="0" w:type="auto"/>
            <w:vAlign w:val="center"/>
          </w:tcPr>
          <w:p w14:paraId="2A90792F" w14:textId="6E8539D7" w:rsidR="00E1146D" w:rsidRPr="00E1146D" w:rsidRDefault="00E1146D" w:rsidP="00D9673D">
            <w:pPr>
              <w:keepNext/>
              <w:keepLines/>
              <w:jc w:val="center"/>
              <w:rPr>
                <w:rFonts w:ascii="Arial" w:hAnsi="Arial" w:cs="Arial"/>
                <w:b/>
                <w:sz w:val="18"/>
                <w:szCs w:val="18"/>
              </w:rPr>
            </w:pPr>
          </w:p>
        </w:tc>
        <w:tc>
          <w:tcPr>
            <w:tcW w:w="0" w:type="auto"/>
            <w:vAlign w:val="center"/>
          </w:tcPr>
          <w:p w14:paraId="0385C670" w14:textId="4B71F9B4" w:rsidR="00E1146D" w:rsidRPr="00E1146D" w:rsidRDefault="00E1146D" w:rsidP="00D9673D">
            <w:pPr>
              <w:keepNext/>
              <w:keepLines/>
              <w:jc w:val="center"/>
              <w:rPr>
                <w:rFonts w:ascii="Arial" w:hAnsi="Arial" w:cs="Arial"/>
                <w:b/>
                <w:sz w:val="18"/>
                <w:szCs w:val="18"/>
              </w:rPr>
            </w:pPr>
          </w:p>
        </w:tc>
        <w:tc>
          <w:tcPr>
            <w:tcW w:w="0" w:type="auto"/>
            <w:vAlign w:val="center"/>
          </w:tcPr>
          <w:p w14:paraId="3E1A594E" w14:textId="5EED2A05" w:rsidR="00E1146D" w:rsidRPr="00E1146D" w:rsidRDefault="00E1146D" w:rsidP="00D9673D">
            <w:pPr>
              <w:keepNext/>
              <w:keepLines/>
              <w:jc w:val="center"/>
              <w:rPr>
                <w:rFonts w:ascii="Arial" w:hAnsi="Arial" w:cs="Arial"/>
                <w:b/>
                <w:sz w:val="18"/>
                <w:szCs w:val="18"/>
              </w:rPr>
            </w:pPr>
          </w:p>
        </w:tc>
      </w:tr>
    </w:tbl>
    <w:p w14:paraId="3465D874" w14:textId="77777777" w:rsidR="00461403" w:rsidRDefault="00461403" w:rsidP="00461403"/>
    <w:p w14:paraId="422DA0CC" w14:textId="77777777" w:rsidR="00461403" w:rsidRPr="00F7268D" w:rsidRDefault="00461403" w:rsidP="00461403">
      <w:pPr>
        <w:rPr>
          <w:i/>
        </w:rPr>
      </w:pPr>
      <w:r w:rsidRPr="00F7268D">
        <w:rPr>
          <w:i/>
        </w:rPr>
        <w:t>AutoDR</w:t>
      </w:r>
    </w:p>
    <w:p w14:paraId="6B7E96F6" w14:textId="70CFEA79" w:rsidR="00461403" w:rsidRDefault="00461403" w:rsidP="00461403">
      <w:r>
        <w:t>According to data provided by PG&amp;E, an average of 8</w:t>
      </w:r>
      <w:r w:rsidR="0010087B">
        <w:t>1</w:t>
      </w:r>
      <w:r>
        <w:t xml:space="preserve"> DBP service accounts participated in the AutoDR program. During any one event when all DBP customers were notified, a maximum of </w:t>
      </w:r>
      <w:r w:rsidR="0010087B">
        <w:t>49</w:t>
      </w:r>
      <w:r>
        <w:t xml:space="preserve"> of these submitted a bid. Table 4.16 shows the average hourly load impact for the AutoDR participants, which was 1</w:t>
      </w:r>
      <w:r w:rsidR="0010087B">
        <w:t>2</w:t>
      </w:r>
      <w:r>
        <w:t>.</w:t>
      </w:r>
      <w:r w:rsidR="0010087B">
        <w:t>9</w:t>
      </w:r>
      <w:r>
        <w:t xml:space="preserve"> MW, or 1</w:t>
      </w:r>
      <w:r w:rsidR="0010087B">
        <w:t>8</w:t>
      </w:r>
      <w:r>
        <w:t>.</w:t>
      </w:r>
      <w:r w:rsidR="0010087B">
        <w:t>4</w:t>
      </w:r>
      <w:r>
        <w:t xml:space="preserve"> percent of the reference load.</w:t>
      </w:r>
      <w:r w:rsidR="00D9673D">
        <w:t xml:space="preserve"> Some </w:t>
      </w:r>
      <w:r w:rsidR="00D9673D" w:rsidRPr="005D4700">
        <w:t>results have been removed due to confidentiality concerns.</w:t>
      </w:r>
      <w:r>
        <w:t xml:space="preserve">  </w:t>
      </w:r>
    </w:p>
    <w:p w14:paraId="727247EF" w14:textId="77777777" w:rsidR="00461403" w:rsidRDefault="00461403" w:rsidP="00461403"/>
    <w:p w14:paraId="253EA3AC" w14:textId="6D889E30" w:rsidR="00461403" w:rsidRPr="00852320" w:rsidRDefault="00461403" w:rsidP="00461403">
      <w:pPr>
        <w:pStyle w:val="TableCaption"/>
        <w:keepNext/>
        <w:keepLines/>
      </w:pPr>
      <w:bookmarkStart w:id="146" w:name="_Toc383597998"/>
      <w:bookmarkStart w:id="147" w:name="_Toc415761887"/>
      <w:r w:rsidRPr="00852320">
        <w:t>Table 4.1</w:t>
      </w:r>
      <w:r>
        <w:t>6</w:t>
      </w:r>
      <w:r w:rsidRPr="00852320">
        <w:t xml:space="preserve">: Average </w:t>
      </w:r>
      <w:r w:rsidR="00370C78">
        <w:t>Event-</w:t>
      </w:r>
      <w:r w:rsidRPr="00852320">
        <w:t xml:space="preserve">Hour Load Impacts by Event, </w:t>
      </w:r>
      <w:r w:rsidRPr="00852320">
        <w:rPr>
          <w:i/>
        </w:rPr>
        <w:t>PG&amp;E</w:t>
      </w:r>
      <w:r w:rsidRPr="00852320">
        <w:t xml:space="preserve"> </w:t>
      </w:r>
      <w:r w:rsidRPr="00852320">
        <w:rPr>
          <w:i/>
        </w:rPr>
        <w:t>AutoDR</w:t>
      </w:r>
      <w:bookmarkEnd w:id="146"/>
      <w:bookmarkEnd w:id="147"/>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04"/>
        <w:gridCol w:w="1003"/>
        <w:gridCol w:w="1003"/>
        <w:gridCol w:w="1218"/>
        <w:gridCol w:w="1115"/>
        <w:gridCol w:w="1189"/>
        <w:gridCol w:w="845"/>
        <w:gridCol w:w="1153"/>
      </w:tblGrid>
      <w:tr w:rsidR="00461403" w14:paraId="34D20A62" w14:textId="77777777" w:rsidTr="00461403">
        <w:tc>
          <w:tcPr>
            <w:tcW w:w="0" w:type="auto"/>
            <w:tcBorders>
              <w:top w:val="single" w:sz="4" w:space="0" w:color="auto"/>
              <w:bottom w:val="single" w:sz="4" w:space="0" w:color="auto"/>
              <w:right w:val="single" w:sz="4" w:space="0" w:color="auto"/>
            </w:tcBorders>
            <w:shd w:val="clear" w:color="auto" w:fill="D9E2F3"/>
            <w:vAlign w:val="center"/>
          </w:tcPr>
          <w:p w14:paraId="6F19BD19" w14:textId="77777777" w:rsidR="00461403" w:rsidRPr="00773FF3" w:rsidRDefault="00461403" w:rsidP="00461403">
            <w:pPr>
              <w:keepNext/>
              <w:keepLines/>
              <w:rPr>
                <w:rFonts w:ascii="Arial" w:hAnsi="Arial" w:cs="Arial"/>
                <w:b/>
                <w:sz w:val="18"/>
                <w:szCs w:val="18"/>
              </w:rPr>
            </w:pPr>
            <w:r w:rsidRPr="00773FF3">
              <w:rPr>
                <w:rFonts w:ascii="Arial" w:hAnsi="Arial" w:cs="Arial"/>
                <w:b/>
                <w:sz w:val="18"/>
                <w:szCs w:val="18"/>
              </w:rPr>
              <w:t>Event Date</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49784A17"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 xml:space="preserve">Number of </w:t>
            </w:r>
            <w:r>
              <w:rPr>
                <w:rFonts w:ascii="Arial" w:hAnsi="Arial" w:cs="Arial"/>
                <w:b/>
                <w:sz w:val="18"/>
                <w:szCs w:val="18"/>
              </w:rPr>
              <w:t xml:space="preserve">Notified </w:t>
            </w:r>
            <w:r w:rsidRPr="00773FF3">
              <w:rPr>
                <w:rFonts w:ascii="Arial" w:hAnsi="Arial" w:cs="Arial"/>
                <w:b/>
                <w:sz w:val="18"/>
                <w:szCs w:val="18"/>
              </w:rPr>
              <w:t>SAIDs</w:t>
            </w:r>
          </w:p>
        </w:tc>
        <w:tc>
          <w:tcPr>
            <w:tcW w:w="0" w:type="auto"/>
            <w:tcBorders>
              <w:top w:val="single" w:sz="4" w:space="0" w:color="auto"/>
              <w:left w:val="single" w:sz="4" w:space="0" w:color="auto"/>
              <w:bottom w:val="single" w:sz="4" w:space="0" w:color="auto"/>
              <w:right w:val="single" w:sz="4" w:space="0" w:color="auto"/>
            </w:tcBorders>
            <w:shd w:val="clear" w:color="auto" w:fill="D9E2F3"/>
          </w:tcPr>
          <w:p w14:paraId="26BF1E50" w14:textId="77777777" w:rsidR="00461403" w:rsidRPr="00773FF3" w:rsidRDefault="00461403" w:rsidP="00461403">
            <w:pPr>
              <w:keepNext/>
              <w:keepLines/>
              <w:jc w:val="center"/>
              <w:rPr>
                <w:rFonts w:ascii="Arial" w:hAnsi="Arial" w:cs="Arial"/>
                <w:b/>
                <w:sz w:val="18"/>
                <w:szCs w:val="18"/>
              </w:rPr>
            </w:pPr>
            <w:r>
              <w:rPr>
                <w:rFonts w:ascii="Arial" w:hAnsi="Arial" w:cs="Arial"/>
                <w:b/>
                <w:sz w:val="18"/>
                <w:szCs w:val="18"/>
              </w:rPr>
              <w:t>Number of Bidding SAIDs</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0CFAA142"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Estimated Reference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06090B51"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Observed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2403C798"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Estimated Load Impact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400CC94B"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 Load Impact</w:t>
            </w:r>
          </w:p>
        </w:tc>
        <w:tc>
          <w:tcPr>
            <w:tcW w:w="0" w:type="auto"/>
            <w:tcBorders>
              <w:top w:val="single" w:sz="4" w:space="0" w:color="auto"/>
              <w:left w:val="single" w:sz="4" w:space="0" w:color="auto"/>
              <w:bottom w:val="single" w:sz="4" w:space="0" w:color="auto"/>
            </w:tcBorders>
            <w:shd w:val="clear" w:color="auto" w:fill="D9E2F3"/>
            <w:vAlign w:val="center"/>
          </w:tcPr>
          <w:p w14:paraId="45930921" w14:textId="77777777" w:rsidR="00461403" w:rsidRPr="00773FF3" w:rsidRDefault="00461403" w:rsidP="00461403">
            <w:pPr>
              <w:keepNext/>
              <w:keepLines/>
              <w:jc w:val="center"/>
              <w:rPr>
                <w:rFonts w:ascii="Arial" w:hAnsi="Arial" w:cs="Arial"/>
                <w:b/>
                <w:sz w:val="18"/>
                <w:szCs w:val="18"/>
              </w:rPr>
            </w:pPr>
            <w:r>
              <w:rPr>
                <w:rFonts w:ascii="Arial" w:hAnsi="Arial" w:cs="Arial"/>
                <w:b/>
                <w:sz w:val="18"/>
                <w:szCs w:val="18"/>
              </w:rPr>
              <w:t>Approved MW for Bidders</w:t>
            </w:r>
          </w:p>
        </w:tc>
      </w:tr>
      <w:tr w:rsidR="00E1146D" w14:paraId="3154CBAA" w14:textId="77777777" w:rsidTr="00E1146D">
        <w:tc>
          <w:tcPr>
            <w:tcW w:w="0" w:type="auto"/>
            <w:tcBorders>
              <w:top w:val="single" w:sz="4" w:space="0" w:color="auto"/>
            </w:tcBorders>
          </w:tcPr>
          <w:p w14:paraId="78E531CE" w14:textId="49CD2525" w:rsidR="00E1146D" w:rsidRPr="00F55948" w:rsidRDefault="00E1146D" w:rsidP="00E1146D">
            <w:pPr>
              <w:keepNext/>
              <w:keepLines/>
              <w:rPr>
                <w:rFonts w:ascii="Arial" w:hAnsi="Arial" w:cs="Arial"/>
                <w:sz w:val="18"/>
                <w:szCs w:val="18"/>
              </w:rPr>
            </w:pPr>
            <w:r w:rsidRPr="00461403">
              <w:rPr>
                <w:rFonts w:ascii="Arial" w:hAnsi="Arial" w:cs="Arial"/>
                <w:sz w:val="18"/>
                <w:szCs w:val="18"/>
              </w:rPr>
              <w:t>5/14/2014</w:t>
            </w:r>
          </w:p>
        </w:tc>
        <w:tc>
          <w:tcPr>
            <w:tcW w:w="0" w:type="auto"/>
            <w:tcBorders>
              <w:top w:val="single" w:sz="4" w:space="0" w:color="auto"/>
            </w:tcBorders>
            <w:vAlign w:val="center"/>
          </w:tcPr>
          <w:p w14:paraId="0BB4B4BC" w14:textId="603C5111" w:rsidR="00E1146D" w:rsidRPr="00E1146D" w:rsidRDefault="00E1146D" w:rsidP="00E1146D">
            <w:pPr>
              <w:keepNext/>
              <w:keepLines/>
              <w:jc w:val="center"/>
              <w:rPr>
                <w:rFonts w:ascii="Arial" w:hAnsi="Arial" w:cs="Arial"/>
                <w:sz w:val="18"/>
                <w:szCs w:val="18"/>
              </w:rPr>
            </w:pPr>
          </w:p>
        </w:tc>
        <w:tc>
          <w:tcPr>
            <w:tcW w:w="0" w:type="auto"/>
            <w:tcBorders>
              <w:top w:val="single" w:sz="4" w:space="0" w:color="auto"/>
            </w:tcBorders>
            <w:vAlign w:val="center"/>
          </w:tcPr>
          <w:p w14:paraId="2E863E61" w14:textId="5783395C" w:rsidR="00E1146D" w:rsidRPr="00E1146D" w:rsidRDefault="00E1146D" w:rsidP="00E1146D">
            <w:pPr>
              <w:keepNext/>
              <w:keepLines/>
              <w:jc w:val="center"/>
              <w:rPr>
                <w:rFonts w:ascii="Arial" w:hAnsi="Arial" w:cs="Arial"/>
                <w:sz w:val="18"/>
                <w:szCs w:val="18"/>
              </w:rPr>
            </w:pPr>
          </w:p>
        </w:tc>
        <w:tc>
          <w:tcPr>
            <w:tcW w:w="0" w:type="auto"/>
            <w:tcBorders>
              <w:top w:val="single" w:sz="4" w:space="0" w:color="auto"/>
            </w:tcBorders>
            <w:vAlign w:val="center"/>
          </w:tcPr>
          <w:p w14:paraId="6F13DDE9" w14:textId="69C5776B" w:rsidR="00E1146D" w:rsidRPr="00E1146D" w:rsidRDefault="00E1146D" w:rsidP="00E1146D">
            <w:pPr>
              <w:keepNext/>
              <w:keepLines/>
              <w:jc w:val="center"/>
              <w:rPr>
                <w:rFonts w:ascii="Arial" w:hAnsi="Arial" w:cs="Arial"/>
                <w:sz w:val="18"/>
                <w:szCs w:val="18"/>
              </w:rPr>
            </w:pPr>
          </w:p>
        </w:tc>
        <w:tc>
          <w:tcPr>
            <w:tcW w:w="0" w:type="auto"/>
            <w:tcBorders>
              <w:top w:val="single" w:sz="4" w:space="0" w:color="auto"/>
            </w:tcBorders>
            <w:vAlign w:val="center"/>
          </w:tcPr>
          <w:p w14:paraId="68352934" w14:textId="5A1B70DB" w:rsidR="00E1146D" w:rsidRPr="00E1146D" w:rsidRDefault="00E1146D" w:rsidP="00E1146D">
            <w:pPr>
              <w:keepNext/>
              <w:keepLines/>
              <w:jc w:val="center"/>
              <w:rPr>
                <w:rFonts w:ascii="Arial" w:hAnsi="Arial" w:cs="Arial"/>
                <w:sz w:val="18"/>
                <w:szCs w:val="18"/>
              </w:rPr>
            </w:pPr>
          </w:p>
        </w:tc>
        <w:tc>
          <w:tcPr>
            <w:tcW w:w="0" w:type="auto"/>
            <w:tcBorders>
              <w:top w:val="single" w:sz="4" w:space="0" w:color="auto"/>
            </w:tcBorders>
            <w:vAlign w:val="center"/>
          </w:tcPr>
          <w:p w14:paraId="5A7AAFF1" w14:textId="4FFA8DB6" w:rsidR="00E1146D" w:rsidRPr="00E1146D" w:rsidRDefault="00E1146D" w:rsidP="00E1146D">
            <w:pPr>
              <w:keepNext/>
              <w:keepLines/>
              <w:jc w:val="center"/>
              <w:rPr>
                <w:rFonts w:ascii="Arial" w:hAnsi="Arial" w:cs="Arial"/>
                <w:sz w:val="18"/>
                <w:szCs w:val="18"/>
              </w:rPr>
            </w:pPr>
          </w:p>
        </w:tc>
        <w:tc>
          <w:tcPr>
            <w:tcW w:w="0" w:type="auto"/>
            <w:tcBorders>
              <w:top w:val="single" w:sz="4" w:space="0" w:color="auto"/>
            </w:tcBorders>
            <w:vAlign w:val="center"/>
          </w:tcPr>
          <w:p w14:paraId="2FBC9AA7" w14:textId="09E276F7" w:rsidR="00E1146D" w:rsidRPr="00E1146D" w:rsidRDefault="00E1146D" w:rsidP="00E1146D">
            <w:pPr>
              <w:keepNext/>
              <w:keepLines/>
              <w:jc w:val="center"/>
              <w:rPr>
                <w:rFonts w:ascii="Arial" w:hAnsi="Arial" w:cs="Arial"/>
                <w:sz w:val="18"/>
                <w:szCs w:val="18"/>
              </w:rPr>
            </w:pPr>
          </w:p>
        </w:tc>
        <w:tc>
          <w:tcPr>
            <w:tcW w:w="0" w:type="auto"/>
            <w:tcBorders>
              <w:top w:val="single" w:sz="4" w:space="0" w:color="auto"/>
            </w:tcBorders>
            <w:vAlign w:val="center"/>
          </w:tcPr>
          <w:p w14:paraId="7185B3EF" w14:textId="5CCB9A11" w:rsidR="00E1146D" w:rsidRPr="00E1146D" w:rsidRDefault="00E1146D" w:rsidP="00E1146D">
            <w:pPr>
              <w:keepNext/>
              <w:keepLines/>
              <w:jc w:val="center"/>
              <w:rPr>
                <w:rFonts w:ascii="Arial" w:hAnsi="Arial" w:cs="Arial"/>
                <w:sz w:val="18"/>
                <w:szCs w:val="18"/>
              </w:rPr>
            </w:pPr>
          </w:p>
        </w:tc>
      </w:tr>
      <w:tr w:rsidR="00E1146D" w14:paraId="5DD23C27" w14:textId="77777777" w:rsidTr="00E1146D">
        <w:tc>
          <w:tcPr>
            <w:tcW w:w="0" w:type="auto"/>
          </w:tcPr>
          <w:p w14:paraId="1D160BB5" w14:textId="5E16C80B" w:rsidR="00E1146D" w:rsidRPr="00F55948" w:rsidRDefault="00E1146D" w:rsidP="00E1146D">
            <w:pPr>
              <w:keepNext/>
              <w:keepLines/>
              <w:rPr>
                <w:rFonts w:ascii="Arial" w:hAnsi="Arial" w:cs="Arial"/>
                <w:sz w:val="18"/>
                <w:szCs w:val="18"/>
              </w:rPr>
            </w:pPr>
            <w:r w:rsidRPr="00461403">
              <w:rPr>
                <w:rFonts w:ascii="Arial" w:hAnsi="Arial" w:cs="Arial"/>
                <w:sz w:val="18"/>
                <w:szCs w:val="18"/>
              </w:rPr>
              <w:t>6/30/2014</w:t>
            </w:r>
          </w:p>
        </w:tc>
        <w:tc>
          <w:tcPr>
            <w:tcW w:w="0" w:type="auto"/>
            <w:vAlign w:val="center"/>
          </w:tcPr>
          <w:p w14:paraId="71CBD526" w14:textId="436FB1A1"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82</w:t>
            </w:r>
          </w:p>
        </w:tc>
        <w:tc>
          <w:tcPr>
            <w:tcW w:w="0" w:type="auto"/>
            <w:vAlign w:val="center"/>
          </w:tcPr>
          <w:p w14:paraId="33BD0E10" w14:textId="2EFE4262"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49</w:t>
            </w:r>
          </w:p>
        </w:tc>
        <w:tc>
          <w:tcPr>
            <w:tcW w:w="0" w:type="auto"/>
            <w:vAlign w:val="center"/>
          </w:tcPr>
          <w:p w14:paraId="76D14E01" w14:textId="6B457BB8"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70.4</w:t>
            </w:r>
          </w:p>
        </w:tc>
        <w:tc>
          <w:tcPr>
            <w:tcW w:w="0" w:type="auto"/>
            <w:vAlign w:val="center"/>
          </w:tcPr>
          <w:p w14:paraId="56AA8688" w14:textId="63A8450B"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56.2</w:t>
            </w:r>
          </w:p>
        </w:tc>
        <w:tc>
          <w:tcPr>
            <w:tcW w:w="0" w:type="auto"/>
            <w:vAlign w:val="center"/>
          </w:tcPr>
          <w:p w14:paraId="66F7E725" w14:textId="496D92EF"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14.2</w:t>
            </w:r>
          </w:p>
        </w:tc>
        <w:tc>
          <w:tcPr>
            <w:tcW w:w="0" w:type="auto"/>
            <w:vAlign w:val="center"/>
          </w:tcPr>
          <w:p w14:paraId="4F6B6B2E" w14:textId="0BAAAFCC"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20.1%</w:t>
            </w:r>
          </w:p>
        </w:tc>
        <w:tc>
          <w:tcPr>
            <w:tcW w:w="0" w:type="auto"/>
            <w:vAlign w:val="center"/>
          </w:tcPr>
          <w:p w14:paraId="66FB9D66" w14:textId="2E26D7D6"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5EFA8EFF" w14:textId="77777777" w:rsidTr="00E1146D">
        <w:tc>
          <w:tcPr>
            <w:tcW w:w="0" w:type="auto"/>
          </w:tcPr>
          <w:p w14:paraId="2A0FEF19" w14:textId="2B053267" w:rsidR="00E1146D" w:rsidRPr="00F55948" w:rsidRDefault="00E1146D" w:rsidP="00E1146D">
            <w:pPr>
              <w:keepNext/>
              <w:keepLines/>
              <w:rPr>
                <w:rFonts w:ascii="Arial" w:hAnsi="Arial" w:cs="Arial"/>
                <w:sz w:val="18"/>
                <w:szCs w:val="18"/>
              </w:rPr>
            </w:pPr>
            <w:r w:rsidRPr="00461403">
              <w:rPr>
                <w:rFonts w:ascii="Arial" w:hAnsi="Arial" w:cs="Arial"/>
                <w:sz w:val="18"/>
                <w:szCs w:val="18"/>
              </w:rPr>
              <w:t>7/7/2014</w:t>
            </w:r>
          </w:p>
        </w:tc>
        <w:tc>
          <w:tcPr>
            <w:tcW w:w="0" w:type="auto"/>
            <w:vAlign w:val="center"/>
          </w:tcPr>
          <w:p w14:paraId="40545555" w14:textId="23330576"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82</w:t>
            </w:r>
          </w:p>
        </w:tc>
        <w:tc>
          <w:tcPr>
            <w:tcW w:w="0" w:type="auto"/>
            <w:vAlign w:val="center"/>
          </w:tcPr>
          <w:p w14:paraId="7E5A6565" w14:textId="776535BD"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42</w:t>
            </w:r>
          </w:p>
        </w:tc>
        <w:tc>
          <w:tcPr>
            <w:tcW w:w="0" w:type="auto"/>
            <w:vAlign w:val="center"/>
          </w:tcPr>
          <w:p w14:paraId="6CF0CF2C" w14:textId="00CB8482"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67.6</w:t>
            </w:r>
          </w:p>
        </w:tc>
        <w:tc>
          <w:tcPr>
            <w:tcW w:w="0" w:type="auto"/>
            <w:vAlign w:val="center"/>
          </w:tcPr>
          <w:p w14:paraId="6D48B202" w14:textId="1AA7119F"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54.2</w:t>
            </w:r>
          </w:p>
        </w:tc>
        <w:tc>
          <w:tcPr>
            <w:tcW w:w="0" w:type="auto"/>
            <w:vAlign w:val="center"/>
          </w:tcPr>
          <w:p w14:paraId="18E1EDA4" w14:textId="165BC28E"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13.5</w:t>
            </w:r>
          </w:p>
        </w:tc>
        <w:tc>
          <w:tcPr>
            <w:tcW w:w="0" w:type="auto"/>
            <w:vAlign w:val="center"/>
          </w:tcPr>
          <w:p w14:paraId="2E666A3F" w14:textId="59436CA2"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19.9%</w:t>
            </w:r>
          </w:p>
        </w:tc>
        <w:tc>
          <w:tcPr>
            <w:tcW w:w="0" w:type="auto"/>
            <w:vAlign w:val="center"/>
          </w:tcPr>
          <w:p w14:paraId="2A06B92C" w14:textId="0AAB570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78A1BA57" w14:textId="77777777" w:rsidTr="00E1146D">
        <w:tc>
          <w:tcPr>
            <w:tcW w:w="0" w:type="auto"/>
          </w:tcPr>
          <w:p w14:paraId="1AD8129A" w14:textId="016B5C2F" w:rsidR="00E1146D" w:rsidRPr="00F55948" w:rsidRDefault="00E1146D" w:rsidP="00E1146D">
            <w:pPr>
              <w:keepNext/>
              <w:keepLines/>
              <w:rPr>
                <w:rFonts w:ascii="Arial" w:hAnsi="Arial" w:cs="Arial"/>
                <w:sz w:val="18"/>
                <w:szCs w:val="18"/>
              </w:rPr>
            </w:pPr>
            <w:r w:rsidRPr="00461403">
              <w:rPr>
                <w:rFonts w:ascii="Arial" w:hAnsi="Arial" w:cs="Arial"/>
                <w:sz w:val="18"/>
                <w:szCs w:val="18"/>
              </w:rPr>
              <w:t>7/14/2014</w:t>
            </w:r>
          </w:p>
        </w:tc>
        <w:tc>
          <w:tcPr>
            <w:tcW w:w="0" w:type="auto"/>
            <w:vAlign w:val="center"/>
          </w:tcPr>
          <w:p w14:paraId="6E4E505F" w14:textId="18349774" w:rsidR="00E1146D" w:rsidRPr="00E1146D" w:rsidRDefault="00E1146D" w:rsidP="00E1146D">
            <w:pPr>
              <w:keepNext/>
              <w:keepLines/>
              <w:jc w:val="center"/>
              <w:rPr>
                <w:rFonts w:ascii="Arial" w:hAnsi="Arial" w:cs="Arial"/>
                <w:sz w:val="18"/>
                <w:szCs w:val="18"/>
              </w:rPr>
            </w:pPr>
          </w:p>
        </w:tc>
        <w:tc>
          <w:tcPr>
            <w:tcW w:w="0" w:type="auto"/>
            <w:vAlign w:val="center"/>
          </w:tcPr>
          <w:p w14:paraId="4D6E2FB7" w14:textId="30751F0A" w:rsidR="00E1146D" w:rsidRPr="00E1146D" w:rsidRDefault="00E1146D" w:rsidP="00E1146D">
            <w:pPr>
              <w:keepNext/>
              <w:keepLines/>
              <w:jc w:val="center"/>
              <w:rPr>
                <w:rFonts w:ascii="Arial" w:hAnsi="Arial" w:cs="Arial"/>
                <w:sz w:val="18"/>
                <w:szCs w:val="18"/>
              </w:rPr>
            </w:pPr>
          </w:p>
        </w:tc>
        <w:tc>
          <w:tcPr>
            <w:tcW w:w="0" w:type="auto"/>
            <w:vAlign w:val="center"/>
          </w:tcPr>
          <w:p w14:paraId="17296C34" w14:textId="203BC805" w:rsidR="00E1146D" w:rsidRPr="00E1146D" w:rsidRDefault="00E1146D" w:rsidP="00E1146D">
            <w:pPr>
              <w:keepNext/>
              <w:keepLines/>
              <w:jc w:val="center"/>
              <w:rPr>
                <w:rFonts w:ascii="Arial" w:hAnsi="Arial" w:cs="Arial"/>
                <w:sz w:val="18"/>
                <w:szCs w:val="18"/>
              </w:rPr>
            </w:pPr>
          </w:p>
        </w:tc>
        <w:tc>
          <w:tcPr>
            <w:tcW w:w="0" w:type="auto"/>
            <w:vAlign w:val="center"/>
          </w:tcPr>
          <w:p w14:paraId="2B28CFDF" w14:textId="6EAA8EF9" w:rsidR="00E1146D" w:rsidRPr="00E1146D" w:rsidRDefault="00E1146D" w:rsidP="00E1146D">
            <w:pPr>
              <w:keepNext/>
              <w:keepLines/>
              <w:jc w:val="center"/>
              <w:rPr>
                <w:rFonts w:ascii="Arial" w:hAnsi="Arial" w:cs="Arial"/>
                <w:sz w:val="18"/>
                <w:szCs w:val="18"/>
              </w:rPr>
            </w:pPr>
          </w:p>
        </w:tc>
        <w:tc>
          <w:tcPr>
            <w:tcW w:w="0" w:type="auto"/>
            <w:vAlign w:val="center"/>
          </w:tcPr>
          <w:p w14:paraId="57BB74B4" w14:textId="02EA3972" w:rsidR="00E1146D" w:rsidRPr="00E1146D" w:rsidRDefault="00E1146D" w:rsidP="00E1146D">
            <w:pPr>
              <w:keepNext/>
              <w:keepLines/>
              <w:jc w:val="center"/>
              <w:rPr>
                <w:rFonts w:ascii="Arial" w:hAnsi="Arial" w:cs="Arial"/>
                <w:sz w:val="18"/>
                <w:szCs w:val="18"/>
              </w:rPr>
            </w:pPr>
          </w:p>
        </w:tc>
        <w:tc>
          <w:tcPr>
            <w:tcW w:w="0" w:type="auto"/>
            <w:vAlign w:val="center"/>
          </w:tcPr>
          <w:p w14:paraId="4D78FD4C" w14:textId="40F49AFA" w:rsidR="00E1146D" w:rsidRPr="00E1146D" w:rsidRDefault="00E1146D" w:rsidP="00E1146D">
            <w:pPr>
              <w:keepNext/>
              <w:keepLines/>
              <w:jc w:val="center"/>
              <w:rPr>
                <w:rFonts w:ascii="Arial" w:hAnsi="Arial" w:cs="Arial"/>
                <w:sz w:val="18"/>
                <w:szCs w:val="18"/>
              </w:rPr>
            </w:pPr>
          </w:p>
        </w:tc>
        <w:tc>
          <w:tcPr>
            <w:tcW w:w="0" w:type="auto"/>
            <w:vAlign w:val="center"/>
          </w:tcPr>
          <w:p w14:paraId="359A39A2" w14:textId="04FEE06E" w:rsidR="00E1146D" w:rsidRPr="00E1146D" w:rsidRDefault="00E1146D" w:rsidP="00E1146D">
            <w:pPr>
              <w:keepNext/>
              <w:keepLines/>
              <w:jc w:val="center"/>
              <w:rPr>
                <w:rFonts w:ascii="Arial" w:hAnsi="Arial" w:cs="Arial"/>
                <w:sz w:val="18"/>
                <w:szCs w:val="18"/>
              </w:rPr>
            </w:pPr>
          </w:p>
        </w:tc>
      </w:tr>
      <w:tr w:rsidR="00E1146D" w14:paraId="42B42873" w14:textId="77777777" w:rsidTr="00E1146D">
        <w:tc>
          <w:tcPr>
            <w:tcW w:w="0" w:type="auto"/>
          </w:tcPr>
          <w:p w14:paraId="2E21A7A8" w14:textId="0EBC247C" w:rsidR="00E1146D" w:rsidRPr="00F55948" w:rsidRDefault="00E1146D" w:rsidP="00E1146D">
            <w:pPr>
              <w:keepNext/>
              <w:keepLines/>
              <w:rPr>
                <w:rFonts w:ascii="Arial" w:hAnsi="Arial" w:cs="Arial"/>
                <w:sz w:val="18"/>
                <w:szCs w:val="18"/>
              </w:rPr>
            </w:pPr>
            <w:r w:rsidRPr="00461403">
              <w:rPr>
                <w:rFonts w:ascii="Arial" w:hAnsi="Arial" w:cs="Arial"/>
                <w:sz w:val="18"/>
                <w:szCs w:val="18"/>
              </w:rPr>
              <w:t>7/28/2014</w:t>
            </w:r>
          </w:p>
        </w:tc>
        <w:tc>
          <w:tcPr>
            <w:tcW w:w="0" w:type="auto"/>
            <w:vAlign w:val="center"/>
          </w:tcPr>
          <w:p w14:paraId="5C299EE9" w14:textId="4DA0CB8B"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83</w:t>
            </w:r>
          </w:p>
        </w:tc>
        <w:tc>
          <w:tcPr>
            <w:tcW w:w="0" w:type="auto"/>
            <w:vAlign w:val="center"/>
          </w:tcPr>
          <w:p w14:paraId="43C24A67" w14:textId="2CAD6E50"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41</w:t>
            </w:r>
          </w:p>
        </w:tc>
        <w:tc>
          <w:tcPr>
            <w:tcW w:w="0" w:type="auto"/>
            <w:vAlign w:val="center"/>
          </w:tcPr>
          <w:p w14:paraId="0FAD31A1" w14:textId="146DAC3C"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70.0</w:t>
            </w:r>
          </w:p>
        </w:tc>
        <w:tc>
          <w:tcPr>
            <w:tcW w:w="0" w:type="auto"/>
            <w:vAlign w:val="center"/>
          </w:tcPr>
          <w:p w14:paraId="0255A9A9" w14:textId="4E7543FA"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54.6</w:t>
            </w:r>
          </w:p>
        </w:tc>
        <w:tc>
          <w:tcPr>
            <w:tcW w:w="0" w:type="auto"/>
            <w:vAlign w:val="center"/>
          </w:tcPr>
          <w:p w14:paraId="2B5A6667" w14:textId="03BDA0EB"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15.4</w:t>
            </w:r>
          </w:p>
        </w:tc>
        <w:tc>
          <w:tcPr>
            <w:tcW w:w="0" w:type="auto"/>
            <w:vAlign w:val="center"/>
          </w:tcPr>
          <w:p w14:paraId="46174520" w14:textId="1CD31BB5"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22.0%</w:t>
            </w:r>
          </w:p>
        </w:tc>
        <w:tc>
          <w:tcPr>
            <w:tcW w:w="0" w:type="auto"/>
            <w:vAlign w:val="center"/>
          </w:tcPr>
          <w:p w14:paraId="05C3C6F4" w14:textId="69DABB67"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0D35E8EF" w14:textId="77777777" w:rsidTr="00E1146D">
        <w:tc>
          <w:tcPr>
            <w:tcW w:w="0" w:type="auto"/>
          </w:tcPr>
          <w:p w14:paraId="252642BC" w14:textId="62D05F5F" w:rsidR="00E1146D" w:rsidRPr="00F55948" w:rsidRDefault="00E1146D" w:rsidP="00E1146D">
            <w:pPr>
              <w:keepNext/>
              <w:keepLines/>
              <w:rPr>
                <w:rFonts w:ascii="Arial" w:hAnsi="Arial" w:cs="Arial"/>
                <w:sz w:val="18"/>
                <w:szCs w:val="18"/>
              </w:rPr>
            </w:pPr>
            <w:r w:rsidRPr="00461403">
              <w:rPr>
                <w:rFonts w:ascii="Arial" w:hAnsi="Arial" w:cs="Arial"/>
                <w:sz w:val="18"/>
                <w:szCs w:val="18"/>
              </w:rPr>
              <w:t>7/29/2014</w:t>
            </w:r>
          </w:p>
        </w:tc>
        <w:tc>
          <w:tcPr>
            <w:tcW w:w="0" w:type="auto"/>
            <w:vAlign w:val="center"/>
          </w:tcPr>
          <w:p w14:paraId="47DAFF29" w14:textId="075457A8"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83</w:t>
            </w:r>
          </w:p>
        </w:tc>
        <w:tc>
          <w:tcPr>
            <w:tcW w:w="0" w:type="auto"/>
            <w:vAlign w:val="center"/>
          </w:tcPr>
          <w:p w14:paraId="377BB212" w14:textId="49B37776"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31</w:t>
            </w:r>
          </w:p>
        </w:tc>
        <w:tc>
          <w:tcPr>
            <w:tcW w:w="0" w:type="auto"/>
            <w:vAlign w:val="center"/>
          </w:tcPr>
          <w:p w14:paraId="1F6B1EC7" w14:textId="04FAC2E3"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72.4</w:t>
            </w:r>
          </w:p>
        </w:tc>
        <w:tc>
          <w:tcPr>
            <w:tcW w:w="0" w:type="auto"/>
            <w:vAlign w:val="center"/>
          </w:tcPr>
          <w:p w14:paraId="6B8881A5" w14:textId="231329DA"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59.0</w:t>
            </w:r>
          </w:p>
        </w:tc>
        <w:tc>
          <w:tcPr>
            <w:tcW w:w="0" w:type="auto"/>
            <w:vAlign w:val="center"/>
          </w:tcPr>
          <w:p w14:paraId="6EE29079" w14:textId="31394A31"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13.4</w:t>
            </w:r>
          </w:p>
        </w:tc>
        <w:tc>
          <w:tcPr>
            <w:tcW w:w="0" w:type="auto"/>
            <w:vAlign w:val="center"/>
          </w:tcPr>
          <w:p w14:paraId="04CD63C7" w14:textId="7DE003E7"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18.5%</w:t>
            </w:r>
          </w:p>
        </w:tc>
        <w:tc>
          <w:tcPr>
            <w:tcW w:w="0" w:type="auto"/>
            <w:vAlign w:val="center"/>
          </w:tcPr>
          <w:p w14:paraId="56797979" w14:textId="1602A76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2566484E" w14:textId="77777777" w:rsidTr="00E1146D">
        <w:tc>
          <w:tcPr>
            <w:tcW w:w="0" w:type="auto"/>
          </w:tcPr>
          <w:p w14:paraId="07B7D72B" w14:textId="6EE798F0" w:rsidR="00E1146D" w:rsidRPr="00F55948" w:rsidRDefault="00E1146D" w:rsidP="00E1146D">
            <w:pPr>
              <w:keepNext/>
              <w:keepLines/>
              <w:rPr>
                <w:rFonts w:ascii="Arial" w:hAnsi="Arial" w:cs="Arial"/>
                <w:sz w:val="18"/>
                <w:szCs w:val="18"/>
              </w:rPr>
            </w:pPr>
            <w:r w:rsidRPr="00461403">
              <w:rPr>
                <w:rFonts w:ascii="Arial" w:hAnsi="Arial" w:cs="Arial"/>
                <w:sz w:val="18"/>
                <w:szCs w:val="18"/>
              </w:rPr>
              <w:t>7/30/2014</w:t>
            </w:r>
          </w:p>
        </w:tc>
        <w:tc>
          <w:tcPr>
            <w:tcW w:w="0" w:type="auto"/>
            <w:vAlign w:val="center"/>
          </w:tcPr>
          <w:p w14:paraId="32C64139" w14:textId="7EDD2F9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83</w:t>
            </w:r>
          </w:p>
        </w:tc>
        <w:tc>
          <w:tcPr>
            <w:tcW w:w="0" w:type="auto"/>
            <w:vAlign w:val="center"/>
          </w:tcPr>
          <w:p w14:paraId="7AC0EED0" w14:textId="0677F33A"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40</w:t>
            </w:r>
          </w:p>
        </w:tc>
        <w:tc>
          <w:tcPr>
            <w:tcW w:w="0" w:type="auto"/>
            <w:vAlign w:val="center"/>
          </w:tcPr>
          <w:p w14:paraId="569689DD" w14:textId="42BAA840"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72.0</w:t>
            </w:r>
          </w:p>
        </w:tc>
        <w:tc>
          <w:tcPr>
            <w:tcW w:w="0" w:type="auto"/>
            <w:vAlign w:val="center"/>
          </w:tcPr>
          <w:p w14:paraId="6833B721" w14:textId="0DD5713A"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59.4</w:t>
            </w:r>
          </w:p>
        </w:tc>
        <w:tc>
          <w:tcPr>
            <w:tcW w:w="0" w:type="auto"/>
            <w:vAlign w:val="center"/>
          </w:tcPr>
          <w:p w14:paraId="230550A5" w14:textId="5065669B"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12.5</w:t>
            </w:r>
          </w:p>
        </w:tc>
        <w:tc>
          <w:tcPr>
            <w:tcW w:w="0" w:type="auto"/>
            <w:vAlign w:val="center"/>
          </w:tcPr>
          <w:p w14:paraId="1DF393C0" w14:textId="5D1E2C6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17.4%</w:t>
            </w:r>
          </w:p>
        </w:tc>
        <w:tc>
          <w:tcPr>
            <w:tcW w:w="0" w:type="auto"/>
            <w:vAlign w:val="center"/>
          </w:tcPr>
          <w:p w14:paraId="2477DD01" w14:textId="699AABC2"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2E4E8487" w14:textId="77777777" w:rsidTr="00E1146D">
        <w:tc>
          <w:tcPr>
            <w:tcW w:w="0" w:type="auto"/>
          </w:tcPr>
          <w:p w14:paraId="1E755D5D" w14:textId="45E3140A" w:rsidR="00E1146D" w:rsidRPr="00F55948" w:rsidRDefault="00E1146D" w:rsidP="00E1146D">
            <w:pPr>
              <w:keepNext/>
              <w:keepLines/>
              <w:rPr>
                <w:rFonts w:ascii="Arial" w:hAnsi="Arial" w:cs="Arial"/>
                <w:sz w:val="18"/>
                <w:szCs w:val="18"/>
              </w:rPr>
            </w:pPr>
            <w:r w:rsidRPr="00461403">
              <w:rPr>
                <w:rFonts w:ascii="Arial" w:hAnsi="Arial" w:cs="Arial"/>
                <w:sz w:val="18"/>
                <w:szCs w:val="18"/>
              </w:rPr>
              <w:t>7/31/2014</w:t>
            </w:r>
          </w:p>
        </w:tc>
        <w:tc>
          <w:tcPr>
            <w:tcW w:w="0" w:type="auto"/>
            <w:vAlign w:val="center"/>
          </w:tcPr>
          <w:p w14:paraId="178B8118" w14:textId="6DBC15BA"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82</w:t>
            </w:r>
          </w:p>
        </w:tc>
        <w:tc>
          <w:tcPr>
            <w:tcW w:w="0" w:type="auto"/>
            <w:vAlign w:val="center"/>
          </w:tcPr>
          <w:p w14:paraId="5DE4340F" w14:textId="639A821F"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32</w:t>
            </w:r>
          </w:p>
        </w:tc>
        <w:tc>
          <w:tcPr>
            <w:tcW w:w="0" w:type="auto"/>
            <w:vAlign w:val="center"/>
          </w:tcPr>
          <w:p w14:paraId="16AE0216" w14:textId="397EBB5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71.3</w:t>
            </w:r>
          </w:p>
        </w:tc>
        <w:tc>
          <w:tcPr>
            <w:tcW w:w="0" w:type="auto"/>
            <w:vAlign w:val="center"/>
          </w:tcPr>
          <w:p w14:paraId="2C92C948" w14:textId="4DE6283D"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58.8</w:t>
            </w:r>
          </w:p>
        </w:tc>
        <w:tc>
          <w:tcPr>
            <w:tcW w:w="0" w:type="auto"/>
            <w:vAlign w:val="center"/>
          </w:tcPr>
          <w:p w14:paraId="164086FB" w14:textId="11A27D03"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12.5</w:t>
            </w:r>
          </w:p>
        </w:tc>
        <w:tc>
          <w:tcPr>
            <w:tcW w:w="0" w:type="auto"/>
            <w:vAlign w:val="center"/>
          </w:tcPr>
          <w:p w14:paraId="44870B06" w14:textId="21A28F31"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17.5%</w:t>
            </w:r>
          </w:p>
        </w:tc>
        <w:tc>
          <w:tcPr>
            <w:tcW w:w="0" w:type="auto"/>
            <w:vAlign w:val="center"/>
          </w:tcPr>
          <w:p w14:paraId="0BBEB5BB" w14:textId="745C1FFE"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1E62D04E" w14:textId="77777777" w:rsidTr="00E1146D">
        <w:tc>
          <w:tcPr>
            <w:tcW w:w="0" w:type="auto"/>
          </w:tcPr>
          <w:p w14:paraId="3E4A4647" w14:textId="3384B05B" w:rsidR="00E1146D" w:rsidRPr="00F55948" w:rsidRDefault="00E1146D" w:rsidP="00E1146D">
            <w:pPr>
              <w:keepNext/>
              <w:keepLines/>
              <w:rPr>
                <w:rFonts w:ascii="Arial" w:hAnsi="Arial" w:cs="Arial"/>
                <w:sz w:val="18"/>
                <w:szCs w:val="18"/>
              </w:rPr>
            </w:pPr>
            <w:r w:rsidRPr="00461403">
              <w:rPr>
                <w:rFonts w:ascii="Arial" w:hAnsi="Arial" w:cs="Arial"/>
                <w:sz w:val="18"/>
                <w:szCs w:val="18"/>
              </w:rPr>
              <w:t>8/1/2014</w:t>
            </w:r>
          </w:p>
        </w:tc>
        <w:tc>
          <w:tcPr>
            <w:tcW w:w="0" w:type="auto"/>
            <w:vAlign w:val="center"/>
          </w:tcPr>
          <w:p w14:paraId="4276DA79" w14:textId="0D444146"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82</w:t>
            </w:r>
          </w:p>
        </w:tc>
        <w:tc>
          <w:tcPr>
            <w:tcW w:w="0" w:type="auto"/>
            <w:vAlign w:val="center"/>
          </w:tcPr>
          <w:p w14:paraId="64A83523" w14:textId="0E88C06C"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32</w:t>
            </w:r>
          </w:p>
        </w:tc>
        <w:tc>
          <w:tcPr>
            <w:tcW w:w="0" w:type="auto"/>
            <w:vAlign w:val="center"/>
          </w:tcPr>
          <w:p w14:paraId="240B701C" w14:textId="2F4AA63C"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68.7</w:t>
            </w:r>
          </w:p>
        </w:tc>
        <w:tc>
          <w:tcPr>
            <w:tcW w:w="0" w:type="auto"/>
            <w:vAlign w:val="center"/>
          </w:tcPr>
          <w:p w14:paraId="65D8A754" w14:textId="5DD80BB6"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55.4</w:t>
            </w:r>
          </w:p>
        </w:tc>
        <w:tc>
          <w:tcPr>
            <w:tcW w:w="0" w:type="auto"/>
            <w:vAlign w:val="center"/>
          </w:tcPr>
          <w:p w14:paraId="43983475" w14:textId="44461CA2"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13.3</w:t>
            </w:r>
          </w:p>
        </w:tc>
        <w:tc>
          <w:tcPr>
            <w:tcW w:w="0" w:type="auto"/>
            <w:vAlign w:val="center"/>
          </w:tcPr>
          <w:p w14:paraId="41213868" w14:textId="50C552AF"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19.4%</w:t>
            </w:r>
          </w:p>
        </w:tc>
        <w:tc>
          <w:tcPr>
            <w:tcW w:w="0" w:type="auto"/>
            <w:vAlign w:val="center"/>
          </w:tcPr>
          <w:p w14:paraId="327DC7B2" w14:textId="3D01E9A1"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37.6</w:t>
            </w:r>
          </w:p>
        </w:tc>
      </w:tr>
      <w:tr w:rsidR="00E1146D" w14:paraId="78B50EA7" w14:textId="77777777" w:rsidTr="00E1146D">
        <w:tc>
          <w:tcPr>
            <w:tcW w:w="0" w:type="auto"/>
          </w:tcPr>
          <w:p w14:paraId="655A85CC" w14:textId="046E5C0B" w:rsidR="00E1146D" w:rsidRPr="00F55948" w:rsidRDefault="00E1146D" w:rsidP="00E1146D">
            <w:pPr>
              <w:keepNext/>
              <w:keepLines/>
              <w:rPr>
                <w:rFonts w:ascii="Arial" w:hAnsi="Arial" w:cs="Arial"/>
                <w:sz w:val="18"/>
                <w:szCs w:val="18"/>
              </w:rPr>
            </w:pPr>
            <w:r w:rsidRPr="00461403">
              <w:rPr>
                <w:rFonts w:ascii="Arial" w:hAnsi="Arial" w:cs="Arial"/>
                <w:sz w:val="18"/>
                <w:szCs w:val="18"/>
              </w:rPr>
              <w:t>9/12/2014</w:t>
            </w:r>
          </w:p>
        </w:tc>
        <w:tc>
          <w:tcPr>
            <w:tcW w:w="0" w:type="auto"/>
            <w:vAlign w:val="center"/>
          </w:tcPr>
          <w:p w14:paraId="5CCBD6F2" w14:textId="0E3C68B1" w:rsidR="00E1146D" w:rsidRPr="00E1146D" w:rsidRDefault="00E1146D" w:rsidP="00E1146D">
            <w:pPr>
              <w:keepNext/>
              <w:keepLines/>
              <w:jc w:val="center"/>
              <w:rPr>
                <w:rFonts w:ascii="Arial" w:hAnsi="Arial" w:cs="Arial"/>
                <w:sz w:val="18"/>
                <w:szCs w:val="18"/>
              </w:rPr>
            </w:pPr>
          </w:p>
        </w:tc>
        <w:tc>
          <w:tcPr>
            <w:tcW w:w="0" w:type="auto"/>
            <w:vAlign w:val="center"/>
          </w:tcPr>
          <w:p w14:paraId="1301FB14" w14:textId="36CDBF9B" w:rsidR="00E1146D" w:rsidRPr="00E1146D" w:rsidRDefault="00E1146D" w:rsidP="00E1146D">
            <w:pPr>
              <w:keepNext/>
              <w:keepLines/>
              <w:jc w:val="center"/>
              <w:rPr>
                <w:rFonts w:ascii="Arial" w:hAnsi="Arial" w:cs="Arial"/>
                <w:sz w:val="18"/>
                <w:szCs w:val="18"/>
              </w:rPr>
            </w:pPr>
          </w:p>
        </w:tc>
        <w:tc>
          <w:tcPr>
            <w:tcW w:w="0" w:type="auto"/>
            <w:vAlign w:val="center"/>
          </w:tcPr>
          <w:p w14:paraId="4E09D6BA" w14:textId="09770A2B" w:rsidR="00E1146D" w:rsidRPr="00E1146D" w:rsidRDefault="00E1146D" w:rsidP="00E1146D">
            <w:pPr>
              <w:keepNext/>
              <w:keepLines/>
              <w:jc w:val="center"/>
              <w:rPr>
                <w:rFonts w:ascii="Arial" w:hAnsi="Arial" w:cs="Arial"/>
                <w:sz w:val="18"/>
                <w:szCs w:val="18"/>
              </w:rPr>
            </w:pPr>
          </w:p>
        </w:tc>
        <w:tc>
          <w:tcPr>
            <w:tcW w:w="0" w:type="auto"/>
            <w:vAlign w:val="center"/>
          </w:tcPr>
          <w:p w14:paraId="6A7F7AB4" w14:textId="75C45ED5" w:rsidR="00E1146D" w:rsidRPr="00E1146D" w:rsidRDefault="00E1146D" w:rsidP="00E1146D">
            <w:pPr>
              <w:keepNext/>
              <w:keepLines/>
              <w:jc w:val="center"/>
              <w:rPr>
                <w:rFonts w:ascii="Arial" w:hAnsi="Arial" w:cs="Arial"/>
                <w:sz w:val="18"/>
                <w:szCs w:val="18"/>
              </w:rPr>
            </w:pPr>
          </w:p>
        </w:tc>
        <w:tc>
          <w:tcPr>
            <w:tcW w:w="0" w:type="auto"/>
            <w:vAlign w:val="center"/>
          </w:tcPr>
          <w:p w14:paraId="37934320" w14:textId="3034D461" w:rsidR="00E1146D" w:rsidRPr="00E1146D" w:rsidRDefault="00E1146D" w:rsidP="00E1146D">
            <w:pPr>
              <w:keepNext/>
              <w:keepLines/>
              <w:jc w:val="center"/>
              <w:rPr>
                <w:rFonts w:ascii="Arial" w:hAnsi="Arial" w:cs="Arial"/>
                <w:sz w:val="18"/>
                <w:szCs w:val="18"/>
              </w:rPr>
            </w:pPr>
          </w:p>
        </w:tc>
        <w:tc>
          <w:tcPr>
            <w:tcW w:w="0" w:type="auto"/>
            <w:vAlign w:val="center"/>
          </w:tcPr>
          <w:p w14:paraId="27830682" w14:textId="6D820633" w:rsidR="00E1146D" w:rsidRPr="00E1146D" w:rsidRDefault="00E1146D" w:rsidP="00E1146D">
            <w:pPr>
              <w:keepNext/>
              <w:keepLines/>
              <w:jc w:val="center"/>
              <w:rPr>
                <w:rFonts w:ascii="Arial" w:hAnsi="Arial" w:cs="Arial"/>
                <w:sz w:val="18"/>
                <w:szCs w:val="18"/>
              </w:rPr>
            </w:pPr>
          </w:p>
        </w:tc>
        <w:tc>
          <w:tcPr>
            <w:tcW w:w="0" w:type="auto"/>
            <w:vAlign w:val="center"/>
          </w:tcPr>
          <w:p w14:paraId="689D6192" w14:textId="34A3084B" w:rsidR="00E1146D" w:rsidRPr="00E1146D" w:rsidRDefault="00E1146D" w:rsidP="00E1146D">
            <w:pPr>
              <w:keepNext/>
              <w:keepLines/>
              <w:jc w:val="center"/>
              <w:rPr>
                <w:rFonts w:ascii="Arial" w:hAnsi="Arial" w:cs="Arial"/>
                <w:sz w:val="18"/>
                <w:szCs w:val="18"/>
              </w:rPr>
            </w:pPr>
          </w:p>
        </w:tc>
      </w:tr>
      <w:tr w:rsidR="00E1146D" w14:paraId="5DD7A6D5" w14:textId="77777777" w:rsidTr="00E1146D">
        <w:tc>
          <w:tcPr>
            <w:tcW w:w="0" w:type="auto"/>
          </w:tcPr>
          <w:p w14:paraId="55001D18" w14:textId="18CDC254" w:rsidR="00E1146D" w:rsidRPr="00F55948" w:rsidRDefault="00E1146D" w:rsidP="00E1146D">
            <w:pPr>
              <w:keepNext/>
              <w:keepLines/>
              <w:rPr>
                <w:rFonts w:ascii="Arial" w:hAnsi="Arial" w:cs="Arial"/>
                <w:sz w:val="18"/>
                <w:szCs w:val="18"/>
              </w:rPr>
            </w:pPr>
            <w:r w:rsidRPr="00461403">
              <w:rPr>
                <w:rFonts w:ascii="Arial" w:hAnsi="Arial" w:cs="Arial"/>
                <w:sz w:val="18"/>
                <w:szCs w:val="18"/>
              </w:rPr>
              <w:t>9/15/2014</w:t>
            </w:r>
          </w:p>
        </w:tc>
        <w:tc>
          <w:tcPr>
            <w:tcW w:w="0" w:type="auto"/>
            <w:vAlign w:val="center"/>
          </w:tcPr>
          <w:p w14:paraId="00690873" w14:textId="3208C523"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75</w:t>
            </w:r>
          </w:p>
        </w:tc>
        <w:tc>
          <w:tcPr>
            <w:tcW w:w="0" w:type="auto"/>
            <w:vAlign w:val="center"/>
          </w:tcPr>
          <w:p w14:paraId="5875D860" w14:textId="157FA9EE"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40</w:t>
            </w:r>
          </w:p>
        </w:tc>
        <w:tc>
          <w:tcPr>
            <w:tcW w:w="0" w:type="auto"/>
            <w:vAlign w:val="center"/>
          </w:tcPr>
          <w:p w14:paraId="3BFAC859" w14:textId="5DA6DD9C"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69.1</w:t>
            </w:r>
          </w:p>
        </w:tc>
        <w:tc>
          <w:tcPr>
            <w:tcW w:w="0" w:type="auto"/>
            <w:vAlign w:val="center"/>
          </w:tcPr>
          <w:p w14:paraId="1EE4CEA8" w14:textId="659094D1"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64.3</w:t>
            </w:r>
          </w:p>
        </w:tc>
        <w:tc>
          <w:tcPr>
            <w:tcW w:w="0" w:type="auto"/>
            <w:vAlign w:val="center"/>
          </w:tcPr>
          <w:p w14:paraId="4AD8D215" w14:textId="76AA0C62"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4.8</w:t>
            </w:r>
          </w:p>
        </w:tc>
        <w:tc>
          <w:tcPr>
            <w:tcW w:w="0" w:type="auto"/>
            <w:vAlign w:val="center"/>
          </w:tcPr>
          <w:p w14:paraId="7B003B4E" w14:textId="74AA1278"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6.9%</w:t>
            </w:r>
          </w:p>
        </w:tc>
        <w:tc>
          <w:tcPr>
            <w:tcW w:w="0" w:type="auto"/>
            <w:vAlign w:val="center"/>
          </w:tcPr>
          <w:p w14:paraId="52F00AB5" w14:textId="3B938400"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37.2</w:t>
            </w:r>
          </w:p>
        </w:tc>
      </w:tr>
      <w:tr w:rsidR="00E1146D" w14:paraId="41195D35" w14:textId="77777777" w:rsidTr="00E1146D">
        <w:tc>
          <w:tcPr>
            <w:tcW w:w="0" w:type="auto"/>
          </w:tcPr>
          <w:p w14:paraId="3528147E" w14:textId="28A4CA10" w:rsidR="00E1146D" w:rsidRPr="00F55948" w:rsidRDefault="00E1146D" w:rsidP="00E1146D">
            <w:pPr>
              <w:keepNext/>
              <w:keepLines/>
              <w:rPr>
                <w:rFonts w:ascii="Arial" w:hAnsi="Arial" w:cs="Arial"/>
                <w:sz w:val="18"/>
                <w:szCs w:val="18"/>
              </w:rPr>
            </w:pPr>
            <w:r w:rsidRPr="00461403">
              <w:rPr>
                <w:rFonts w:ascii="Arial" w:hAnsi="Arial" w:cs="Arial"/>
                <w:sz w:val="18"/>
                <w:szCs w:val="18"/>
              </w:rPr>
              <w:t>9/16/2014</w:t>
            </w:r>
          </w:p>
        </w:tc>
        <w:tc>
          <w:tcPr>
            <w:tcW w:w="0" w:type="auto"/>
            <w:vAlign w:val="center"/>
          </w:tcPr>
          <w:p w14:paraId="5DA6FAD1" w14:textId="253BB7F6"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75</w:t>
            </w:r>
          </w:p>
        </w:tc>
        <w:tc>
          <w:tcPr>
            <w:tcW w:w="0" w:type="auto"/>
            <w:vAlign w:val="center"/>
          </w:tcPr>
          <w:p w14:paraId="69F103FB" w14:textId="7F0D288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31</w:t>
            </w:r>
          </w:p>
        </w:tc>
        <w:tc>
          <w:tcPr>
            <w:tcW w:w="0" w:type="auto"/>
            <w:vAlign w:val="center"/>
          </w:tcPr>
          <w:p w14:paraId="5E32AF24" w14:textId="36D91D9C"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68.2</w:t>
            </w:r>
          </w:p>
        </w:tc>
        <w:tc>
          <w:tcPr>
            <w:tcW w:w="0" w:type="auto"/>
            <w:vAlign w:val="center"/>
          </w:tcPr>
          <w:p w14:paraId="5975D4B0" w14:textId="4251BDAB"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51.8</w:t>
            </w:r>
          </w:p>
        </w:tc>
        <w:tc>
          <w:tcPr>
            <w:tcW w:w="0" w:type="auto"/>
            <w:vAlign w:val="center"/>
          </w:tcPr>
          <w:p w14:paraId="186D5143" w14:textId="54E61459"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16.5</w:t>
            </w:r>
          </w:p>
        </w:tc>
        <w:tc>
          <w:tcPr>
            <w:tcW w:w="0" w:type="auto"/>
            <w:vAlign w:val="center"/>
          </w:tcPr>
          <w:p w14:paraId="34D32B57" w14:textId="19A78243"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24.1%</w:t>
            </w:r>
          </w:p>
        </w:tc>
        <w:tc>
          <w:tcPr>
            <w:tcW w:w="0" w:type="auto"/>
            <w:vAlign w:val="center"/>
          </w:tcPr>
          <w:p w14:paraId="243284B2" w14:textId="4A3CF558" w:rsidR="00E1146D" w:rsidRPr="00E1146D" w:rsidRDefault="00E1146D" w:rsidP="00E1146D">
            <w:pPr>
              <w:keepNext/>
              <w:keepLines/>
              <w:jc w:val="center"/>
              <w:rPr>
                <w:rFonts w:ascii="Arial" w:hAnsi="Arial" w:cs="Arial"/>
                <w:sz w:val="18"/>
                <w:szCs w:val="18"/>
              </w:rPr>
            </w:pPr>
            <w:r w:rsidRPr="00E1146D">
              <w:rPr>
                <w:rFonts w:ascii="Arial" w:hAnsi="Arial" w:cs="Arial"/>
                <w:sz w:val="18"/>
                <w:szCs w:val="18"/>
              </w:rPr>
              <w:t>37.2</w:t>
            </w:r>
          </w:p>
        </w:tc>
      </w:tr>
      <w:tr w:rsidR="00E1146D" w14:paraId="30E16FC8" w14:textId="77777777" w:rsidTr="00E1146D">
        <w:tc>
          <w:tcPr>
            <w:tcW w:w="0" w:type="auto"/>
            <w:vAlign w:val="center"/>
          </w:tcPr>
          <w:p w14:paraId="05198B1B" w14:textId="77777777" w:rsidR="00E1146D" w:rsidRPr="00F55948" w:rsidRDefault="00E1146D" w:rsidP="00E1146D">
            <w:pPr>
              <w:keepNext/>
              <w:keepLines/>
              <w:rPr>
                <w:rFonts w:ascii="Arial" w:hAnsi="Arial" w:cs="Arial"/>
                <w:b/>
                <w:sz w:val="18"/>
                <w:szCs w:val="18"/>
              </w:rPr>
            </w:pPr>
            <w:r w:rsidRPr="00F55948">
              <w:rPr>
                <w:rFonts w:ascii="Arial" w:hAnsi="Arial" w:cs="Arial"/>
                <w:b/>
                <w:sz w:val="18"/>
                <w:szCs w:val="18"/>
              </w:rPr>
              <w:t>Average when all called</w:t>
            </w:r>
          </w:p>
        </w:tc>
        <w:tc>
          <w:tcPr>
            <w:tcW w:w="0" w:type="auto"/>
            <w:vAlign w:val="center"/>
          </w:tcPr>
          <w:p w14:paraId="3FFA3DE9" w14:textId="1ECE66C2"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81</w:t>
            </w:r>
          </w:p>
        </w:tc>
        <w:tc>
          <w:tcPr>
            <w:tcW w:w="0" w:type="auto"/>
            <w:vAlign w:val="center"/>
          </w:tcPr>
          <w:p w14:paraId="7E25E8D6" w14:textId="6F48E08A"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38</w:t>
            </w:r>
          </w:p>
        </w:tc>
        <w:tc>
          <w:tcPr>
            <w:tcW w:w="0" w:type="auto"/>
            <w:vAlign w:val="center"/>
          </w:tcPr>
          <w:p w14:paraId="0F6247BD" w14:textId="59DAF396"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70.0</w:t>
            </w:r>
          </w:p>
        </w:tc>
        <w:tc>
          <w:tcPr>
            <w:tcW w:w="0" w:type="auto"/>
            <w:vAlign w:val="center"/>
          </w:tcPr>
          <w:p w14:paraId="4866EA03" w14:textId="3FBF993C"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57.1</w:t>
            </w:r>
          </w:p>
        </w:tc>
        <w:tc>
          <w:tcPr>
            <w:tcW w:w="0" w:type="auto"/>
            <w:vAlign w:val="center"/>
          </w:tcPr>
          <w:p w14:paraId="2F2C5274" w14:textId="3466612C"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12.9</w:t>
            </w:r>
          </w:p>
        </w:tc>
        <w:tc>
          <w:tcPr>
            <w:tcW w:w="0" w:type="auto"/>
            <w:vAlign w:val="center"/>
          </w:tcPr>
          <w:p w14:paraId="5263EC0E" w14:textId="56AAAEAC"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18.4%</w:t>
            </w:r>
          </w:p>
        </w:tc>
        <w:tc>
          <w:tcPr>
            <w:tcW w:w="0" w:type="auto"/>
            <w:vAlign w:val="center"/>
          </w:tcPr>
          <w:p w14:paraId="5E63AC9A" w14:textId="6CFBE695" w:rsidR="00E1146D" w:rsidRPr="00E1146D" w:rsidRDefault="00E1146D" w:rsidP="00E1146D">
            <w:pPr>
              <w:keepNext/>
              <w:keepLines/>
              <w:jc w:val="center"/>
              <w:rPr>
                <w:rFonts w:ascii="Arial" w:hAnsi="Arial" w:cs="Arial"/>
                <w:b/>
                <w:sz w:val="18"/>
                <w:szCs w:val="18"/>
              </w:rPr>
            </w:pPr>
            <w:r w:rsidRPr="00E1146D">
              <w:rPr>
                <w:rFonts w:ascii="Arial" w:hAnsi="Arial" w:cs="Arial"/>
                <w:b/>
                <w:sz w:val="18"/>
                <w:szCs w:val="18"/>
              </w:rPr>
              <w:t>37.5</w:t>
            </w:r>
          </w:p>
        </w:tc>
      </w:tr>
    </w:tbl>
    <w:p w14:paraId="71E217F1" w14:textId="54E88E78" w:rsidR="00461403" w:rsidRPr="00347F1A" w:rsidRDefault="00461403" w:rsidP="00461403">
      <w:pPr>
        <w:pStyle w:val="Heading3"/>
      </w:pPr>
      <w:bookmarkStart w:id="148" w:name="_Toc257708613"/>
      <w:bookmarkStart w:id="149" w:name="_Toc287183478"/>
      <w:bookmarkStart w:id="150" w:name="_Toc289180088"/>
      <w:bookmarkStart w:id="151" w:name="_Toc383597930"/>
      <w:bookmarkStart w:id="152" w:name="_Toc415761834"/>
      <w:r w:rsidRPr="00087B03">
        <w:t>SCE</w:t>
      </w:r>
      <w:bookmarkEnd w:id="148"/>
      <w:bookmarkEnd w:id="149"/>
      <w:bookmarkEnd w:id="150"/>
      <w:bookmarkEnd w:id="151"/>
      <w:bookmarkEnd w:id="152"/>
    </w:p>
    <w:p w14:paraId="09BD64C0" w14:textId="77777777" w:rsidR="00461403" w:rsidRPr="00F7268D" w:rsidRDefault="00461403" w:rsidP="00461403">
      <w:pPr>
        <w:rPr>
          <w:i/>
        </w:rPr>
      </w:pPr>
      <w:r w:rsidRPr="00F7268D">
        <w:rPr>
          <w:i/>
        </w:rPr>
        <w:t>TA/TI</w:t>
      </w:r>
    </w:p>
    <w:p w14:paraId="41CED851" w14:textId="7FE4ECD4" w:rsidR="00461403" w:rsidRDefault="00461403" w:rsidP="00461403">
      <w:r>
        <w:lastRenderedPageBreak/>
        <w:t xml:space="preserve">Table 4.17 shows the DBP load impacts provided by SCE’s TA/TI service accounts for each event. An average of </w:t>
      </w:r>
      <w:r w:rsidR="00F92F35">
        <w:t xml:space="preserve">173 </w:t>
      </w:r>
      <w:r>
        <w:t xml:space="preserve">service accounts participated in TA/TI, with an average of </w:t>
      </w:r>
      <w:r w:rsidR="00F92F35">
        <w:t>28</w:t>
      </w:r>
      <w:r>
        <w:t xml:space="preserve"> participants submitting a bid during each event. </w:t>
      </w:r>
      <w:r w:rsidR="00F92F35">
        <w:t xml:space="preserve">The load impacts from TA/TI participants averaged 7.2 MW, or 9.8 percent of the total reference load (including TA/TI participants that did not submit a bid). </w:t>
      </w:r>
      <w:r w:rsidR="00D9673D" w:rsidRPr="005D4700">
        <w:t>These results have been removed due to confidentiality concerns.</w:t>
      </w:r>
    </w:p>
    <w:p w14:paraId="374D689A" w14:textId="77777777" w:rsidR="00461403" w:rsidRDefault="00461403" w:rsidP="00461403"/>
    <w:p w14:paraId="2FB2B93B" w14:textId="2F242C87" w:rsidR="00461403" w:rsidRPr="00852320" w:rsidRDefault="00461403" w:rsidP="00461403">
      <w:pPr>
        <w:pStyle w:val="TableCaption"/>
      </w:pPr>
      <w:bookmarkStart w:id="153" w:name="_Toc383597999"/>
      <w:bookmarkStart w:id="154" w:name="_Toc415761888"/>
      <w:r w:rsidRPr="00087B03">
        <w:t xml:space="preserve">Table 4.17: Average </w:t>
      </w:r>
      <w:r w:rsidR="00370C78">
        <w:t>Event-</w:t>
      </w:r>
      <w:r w:rsidRPr="00087B03">
        <w:t xml:space="preserve">Hour Load Impacts by Event, </w:t>
      </w:r>
      <w:r w:rsidRPr="00087B03">
        <w:rPr>
          <w:i/>
        </w:rPr>
        <w:t>SCE TA/TI</w:t>
      </w:r>
      <w:bookmarkEnd w:id="153"/>
      <w:bookmarkEnd w:id="154"/>
    </w:p>
    <w:tbl>
      <w:tblPr>
        <w:tblW w:w="88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32"/>
        <w:gridCol w:w="984"/>
        <w:gridCol w:w="1063"/>
        <w:gridCol w:w="1292"/>
        <w:gridCol w:w="1153"/>
        <w:gridCol w:w="1252"/>
        <w:gridCol w:w="872"/>
        <w:gridCol w:w="1208"/>
      </w:tblGrid>
      <w:tr w:rsidR="00F92F35" w14:paraId="6846EDD8" w14:textId="77777777" w:rsidTr="00461403">
        <w:tc>
          <w:tcPr>
            <w:tcW w:w="0" w:type="auto"/>
            <w:tcBorders>
              <w:top w:val="single" w:sz="4" w:space="0" w:color="auto"/>
              <w:bottom w:val="single" w:sz="4" w:space="0" w:color="auto"/>
              <w:right w:val="single" w:sz="4" w:space="0" w:color="auto"/>
            </w:tcBorders>
            <w:shd w:val="clear" w:color="auto" w:fill="D9E2F3"/>
            <w:vAlign w:val="center"/>
          </w:tcPr>
          <w:p w14:paraId="7678EBBD" w14:textId="77777777" w:rsidR="00461403" w:rsidRPr="00773FF3" w:rsidRDefault="00461403" w:rsidP="00461403">
            <w:pPr>
              <w:rPr>
                <w:rFonts w:ascii="Arial" w:hAnsi="Arial" w:cs="Arial"/>
                <w:b/>
                <w:sz w:val="18"/>
                <w:szCs w:val="18"/>
              </w:rPr>
            </w:pPr>
            <w:r w:rsidRPr="00773FF3">
              <w:rPr>
                <w:rFonts w:ascii="Arial" w:hAnsi="Arial" w:cs="Arial"/>
                <w:b/>
                <w:sz w:val="18"/>
                <w:szCs w:val="18"/>
              </w:rPr>
              <w:t>Event Date</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17F8B3AA" w14:textId="77777777" w:rsidR="00461403" w:rsidRPr="00773FF3" w:rsidRDefault="00461403" w:rsidP="00461403">
            <w:pPr>
              <w:jc w:val="center"/>
              <w:rPr>
                <w:rFonts w:ascii="Arial" w:hAnsi="Arial" w:cs="Arial"/>
                <w:b/>
                <w:sz w:val="18"/>
                <w:szCs w:val="18"/>
              </w:rPr>
            </w:pPr>
            <w:r w:rsidRPr="00773FF3">
              <w:rPr>
                <w:rFonts w:ascii="Arial" w:hAnsi="Arial" w:cs="Arial"/>
                <w:b/>
                <w:sz w:val="18"/>
                <w:szCs w:val="18"/>
              </w:rPr>
              <w:t>Number of SAIDs</w:t>
            </w:r>
          </w:p>
        </w:tc>
        <w:tc>
          <w:tcPr>
            <w:tcW w:w="0" w:type="auto"/>
            <w:tcBorders>
              <w:top w:val="single" w:sz="4" w:space="0" w:color="auto"/>
              <w:left w:val="single" w:sz="4" w:space="0" w:color="auto"/>
              <w:bottom w:val="single" w:sz="4" w:space="0" w:color="auto"/>
              <w:right w:val="single" w:sz="4" w:space="0" w:color="auto"/>
            </w:tcBorders>
            <w:shd w:val="clear" w:color="auto" w:fill="D9E2F3"/>
          </w:tcPr>
          <w:p w14:paraId="3B1139EE" w14:textId="77777777" w:rsidR="00461403" w:rsidRPr="00773FF3" w:rsidRDefault="00461403" w:rsidP="00461403">
            <w:pPr>
              <w:jc w:val="center"/>
              <w:rPr>
                <w:rFonts w:ascii="Arial" w:hAnsi="Arial" w:cs="Arial"/>
                <w:b/>
                <w:sz w:val="18"/>
                <w:szCs w:val="18"/>
              </w:rPr>
            </w:pPr>
            <w:r>
              <w:rPr>
                <w:rFonts w:ascii="Arial" w:hAnsi="Arial" w:cs="Arial"/>
                <w:b/>
                <w:sz w:val="18"/>
                <w:szCs w:val="18"/>
              </w:rPr>
              <w:t>Number of Bidding SAIDs</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1EE829A4" w14:textId="77777777" w:rsidR="00461403" w:rsidRPr="00773FF3" w:rsidRDefault="00461403" w:rsidP="00461403">
            <w:pPr>
              <w:jc w:val="center"/>
              <w:rPr>
                <w:rFonts w:ascii="Arial" w:hAnsi="Arial" w:cs="Arial"/>
                <w:b/>
                <w:sz w:val="18"/>
                <w:szCs w:val="18"/>
              </w:rPr>
            </w:pPr>
            <w:r w:rsidRPr="00773FF3">
              <w:rPr>
                <w:rFonts w:ascii="Arial" w:hAnsi="Arial" w:cs="Arial"/>
                <w:b/>
                <w:sz w:val="18"/>
                <w:szCs w:val="18"/>
              </w:rPr>
              <w:t>Estimated Reference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4B924BAC" w14:textId="77777777" w:rsidR="00461403" w:rsidRPr="00773FF3" w:rsidRDefault="00461403" w:rsidP="00461403">
            <w:pPr>
              <w:jc w:val="center"/>
              <w:rPr>
                <w:rFonts w:ascii="Arial" w:hAnsi="Arial" w:cs="Arial"/>
                <w:b/>
                <w:sz w:val="18"/>
                <w:szCs w:val="18"/>
              </w:rPr>
            </w:pPr>
            <w:r w:rsidRPr="00773FF3">
              <w:rPr>
                <w:rFonts w:ascii="Arial" w:hAnsi="Arial" w:cs="Arial"/>
                <w:b/>
                <w:sz w:val="18"/>
                <w:szCs w:val="18"/>
              </w:rPr>
              <w:t>Observed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466DF02F" w14:textId="77777777" w:rsidR="00461403" w:rsidRPr="00773FF3" w:rsidRDefault="00461403" w:rsidP="00461403">
            <w:pPr>
              <w:jc w:val="center"/>
              <w:rPr>
                <w:rFonts w:ascii="Arial" w:hAnsi="Arial" w:cs="Arial"/>
                <w:b/>
                <w:sz w:val="18"/>
                <w:szCs w:val="18"/>
              </w:rPr>
            </w:pPr>
            <w:r w:rsidRPr="00773FF3">
              <w:rPr>
                <w:rFonts w:ascii="Arial" w:hAnsi="Arial" w:cs="Arial"/>
                <w:b/>
                <w:sz w:val="18"/>
                <w:szCs w:val="18"/>
              </w:rPr>
              <w:t>Estimated Load Impact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02A407BB" w14:textId="77777777" w:rsidR="00461403" w:rsidRPr="00773FF3" w:rsidRDefault="00461403" w:rsidP="00461403">
            <w:pPr>
              <w:jc w:val="center"/>
              <w:rPr>
                <w:rFonts w:ascii="Arial" w:hAnsi="Arial" w:cs="Arial"/>
                <w:b/>
                <w:sz w:val="18"/>
                <w:szCs w:val="18"/>
              </w:rPr>
            </w:pPr>
            <w:r w:rsidRPr="00773FF3">
              <w:rPr>
                <w:rFonts w:ascii="Arial" w:hAnsi="Arial" w:cs="Arial"/>
                <w:b/>
                <w:sz w:val="18"/>
                <w:szCs w:val="18"/>
              </w:rPr>
              <w:t>% Load Impact</w:t>
            </w:r>
          </w:p>
        </w:tc>
        <w:tc>
          <w:tcPr>
            <w:tcW w:w="0" w:type="auto"/>
            <w:tcBorders>
              <w:top w:val="single" w:sz="4" w:space="0" w:color="auto"/>
              <w:left w:val="single" w:sz="4" w:space="0" w:color="auto"/>
              <w:bottom w:val="single" w:sz="4" w:space="0" w:color="auto"/>
            </w:tcBorders>
            <w:shd w:val="clear" w:color="auto" w:fill="D9E2F3"/>
            <w:vAlign w:val="center"/>
          </w:tcPr>
          <w:p w14:paraId="69C93D70" w14:textId="77777777" w:rsidR="00461403" w:rsidRPr="00773FF3" w:rsidRDefault="00461403" w:rsidP="00461403">
            <w:pPr>
              <w:keepNext/>
              <w:keepLines/>
              <w:jc w:val="center"/>
              <w:rPr>
                <w:rFonts w:ascii="Arial" w:hAnsi="Arial" w:cs="Arial"/>
                <w:b/>
                <w:sz w:val="18"/>
                <w:szCs w:val="18"/>
              </w:rPr>
            </w:pPr>
            <w:r>
              <w:rPr>
                <w:rFonts w:ascii="Arial" w:hAnsi="Arial" w:cs="Arial"/>
                <w:b/>
                <w:sz w:val="18"/>
                <w:szCs w:val="18"/>
              </w:rPr>
              <w:t>Approved MW for Bidders</w:t>
            </w:r>
          </w:p>
        </w:tc>
      </w:tr>
      <w:tr w:rsidR="00F92F35" w14:paraId="4FC5170C" w14:textId="77777777" w:rsidTr="00461403">
        <w:tc>
          <w:tcPr>
            <w:tcW w:w="0" w:type="auto"/>
            <w:tcBorders>
              <w:top w:val="single" w:sz="4" w:space="0" w:color="auto"/>
            </w:tcBorders>
          </w:tcPr>
          <w:p w14:paraId="041F677E" w14:textId="134F18D1" w:rsidR="00F92F35" w:rsidRPr="00461403" w:rsidRDefault="00F92F35" w:rsidP="00F92F35">
            <w:pPr>
              <w:keepNext/>
              <w:keepLines/>
              <w:rPr>
                <w:rFonts w:ascii="Arial" w:hAnsi="Arial" w:cs="Arial"/>
                <w:sz w:val="18"/>
                <w:szCs w:val="18"/>
              </w:rPr>
            </w:pPr>
            <w:r w:rsidRPr="00461403">
              <w:rPr>
                <w:rFonts w:ascii="Arial" w:hAnsi="Arial" w:cs="Arial"/>
                <w:sz w:val="18"/>
                <w:szCs w:val="18"/>
              </w:rPr>
              <w:t>7/14/2014</w:t>
            </w:r>
          </w:p>
        </w:tc>
        <w:tc>
          <w:tcPr>
            <w:tcW w:w="0" w:type="auto"/>
            <w:tcBorders>
              <w:top w:val="single" w:sz="4" w:space="0" w:color="auto"/>
            </w:tcBorders>
          </w:tcPr>
          <w:p w14:paraId="43D1EF17" w14:textId="0B98E3DD" w:rsidR="00F92F35" w:rsidRPr="00F92F35" w:rsidRDefault="00F92F35" w:rsidP="00F92F35">
            <w:pPr>
              <w:jc w:val="center"/>
              <w:rPr>
                <w:rFonts w:ascii="Arial" w:hAnsi="Arial" w:cs="Arial"/>
                <w:sz w:val="18"/>
                <w:szCs w:val="18"/>
              </w:rPr>
            </w:pPr>
            <w:r w:rsidRPr="00F92F35">
              <w:rPr>
                <w:rFonts w:ascii="Arial" w:hAnsi="Arial" w:cs="Arial"/>
                <w:sz w:val="18"/>
                <w:szCs w:val="18"/>
              </w:rPr>
              <w:t>175</w:t>
            </w:r>
          </w:p>
        </w:tc>
        <w:tc>
          <w:tcPr>
            <w:tcW w:w="0" w:type="auto"/>
            <w:tcBorders>
              <w:top w:val="single" w:sz="4" w:space="0" w:color="auto"/>
            </w:tcBorders>
          </w:tcPr>
          <w:p w14:paraId="67CE2689" w14:textId="7748A9CF" w:rsidR="00F92F35" w:rsidRPr="00F92F35" w:rsidRDefault="00F92F35" w:rsidP="00F92F35">
            <w:pPr>
              <w:jc w:val="center"/>
              <w:rPr>
                <w:rFonts w:ascii="Arial" w:hAnsi="Arial" w:cs="Arial"/>
                <w:sz w:val="18"/>
                <w:szCs w:val="18"/>
              </w:rPr>
            </w:pPr>
          </w:p>
        </w:tc>
        <w:tc>
          <w:tcPr>
            <w:tcW w:w="0" w:type="auto"/>
            <w:tcBorders>
              <w:top w:val="single" w:sz="4" w:space="0" w:color="auto"/>
            </w:tcBorders>
          </w:tcPr>
          <w:p w14:paraId="6AA94629" w14:textId="1536EDAC" w:rsidR="00F92F35" w:rsidRPr="00F92F35" w:rsidRDefault="00F92F35" w:rsidP="00F92F35">
            <w:pPr>
              <w:jc w:val="center"/>
              <w:rPr>
                <w:rFonts w:ascii="Arial" w:hAnsi="Arial" w:cs="Arial"/>
                <w:sz w:val="18"/>
                <w:szCs w:val="18"/>
              </w:rPr>
            </w:pPr>
          </w:p>
        </w:tc>
        <w:tc>
          <w:tcPr>
            <w:tcW w:w="0" w:type="auto"/>
            <w:tcBorders>
              <w:top w:val="single" w:sz="4" w:space="0" w:color="auto"/>
            </w:tcBorders>
          </w:tcPr>
          <w:p w14:paraId="7AF57E6A" w14:textId="448AA05D" w:rsidR="00F92F35" w:rsidRPr="00F92F35" w:rsidRDefault="00F92F35" w:rsidP="00F92F35">
            <w:pPr>
              <w:jc w:val="center"/>
              <w:rPr>
                <w:rFonts w:ascii="Arial" w:hAnsi="Arial" w:cs="Arial"/>
                <w:sz w:val="18"/>
                <w:szCs w:val="18"/>
              </w:rPr>
            </w:pPr>
          </w:p>
        </w:tc>
        <w:tc>
          <w:tcPr>
            <w:tcW w:w="0" w:type="auto"/>
            <w:tcBorders>
              <w:top w:val="single" w:sz="4" w:space="0" w:color="auto"/>
            </w:tcBorders>
          </w:tcPr>
          <w:p w14:paraId="36FF9B73" w14:textId="1B3B1468" w:rsidR="00F92F35" w:rsidRPr="00F92F35" w:rsidRDefault="00F92F35" w:rsidP="00F92F35">
            <w:pPr>
              <w:jc w:val="center"/>
              <w:rPr>
                <w:rFonts w:ascii="Arial" w:hAnsi="Arial" w:cs="Arial"/>
                <w:sz w:val="18"/>
                <w:szCs w:val="18"/>
              </w:rPr>
            </w:pPr>
          </w:p>
        </w:tc>
        <w:tc>
          <w:tcPr>
            <w:tcW w:w="0" w:type="auto"/>
            <w:tcBorders>
              <w:top w:val="single" w:sz="4" w:space="0" w:color="auto"/>
            </w:tcBorders>
          </w:tcPr>
          <w:p w14:paraId="06FB56D5" w14:textId="3CFEEF9C" w:rsidR="00F92F35" w:rsidRPr="00F92F35" w:rsidRDefault="00F92F35" w:rsidP="00F92F35">
            <w:pPr>
              <w:jc w:val="center"/>
              <w:rPr>
                <w:rFonts w:ascii="Arial" w:hAnsi="Arial" w:cs="Arial"/>
                <w:sz w:val="18"/>
                <w:szCs w:val="18"/>
              </w:rPr>
            </w:pPr>
          </w:p>
        </w:tc>
        <w:tc>
          <w:tcPr>
            <w:tcW w:w="0" w:type="auto"/>
            <w:tcBorders>
              <w:top w:val="single" w:sz="4" w:space="0" w:color="auto"/>
            </w:tcBorders>
          </w:tcPr>
          <w:p w14:paraId="733EEADD" w14:textId="7363213C" w:rsidR="00F92F35" w:rsidRPr="00F92F35" w:rsidRDefault="00F92F35" w:rsidP="00F92F35">
            <w:pPr>
              <w:jc w:val="center"/>
              <w:rPr>
                <w:rFonts w:ascii="Arial" w:hAnsi="Arial" w:cs="Arial"/>
                <w:sz w:val="18"/>
                <w:szCs w:val="18"/>
              </w:rPr>
            </w:pPr>
          </w:p>
        </w:tc>
      </w:tr>
      <w:tr w:rsidR="00F92F35" w14:paraId="36F6AB9C" w14:textId="77777777" w:rsidTr="00461403">
        <w:tc>
          <w:tcPr>
            <w:tcW w:w="0" w:type="auto"/>
          </w:tcPr>
          <w:p w14:paraId="5711FD73" w14:textId="5C77B682" w:rsidR="00F92F35" w:rsidRPr="00461403" w:rsidRDefault="00F92F35" w:rsidP="00F92F35">
            <w:pPr>
              <w:keepNext/>
              <w:keepLines/>
              <w:rPr>
                <w:rFonts w:ascii="Arial" w:hAnsi="Arial" w:cs="Arial"/>
                <w:sz w:val="18"/>
                <w:szCs w:val="18"/>
              </w:rPr>
            </w:pPr>
            <w:r w:rsidRPr="00461403">
              <w:rPr>
                <w:rFonts w:ascii="Arial" w:hAnsi="Arial" w:cs="Arial"/>
                <w:sz w:val="18"/>
                <w:szCs w:val="18"/>
              </w:rPr>
              <w:t>9/8/2014</w:t>
            </w:r>
          </w:p>
        </w:tc>
        <w:tc>
          <w:tcPr>
            <w:tcW w:w="0" w:type="auto"/>
          </w:tcPr>
          <w:p w14:paraId="683519AA" w14:textId="1E3D62BC" w:rsidR="00F92F35" w:rsidRPr="00F92F35" w:rsidRDefault="00F92F35" w:rsidP="00F92F35">
            <w:pPr>
              <w:jc w:val="center"/>
              <w:rPr>
                <w:rFonts w:ascii="Arial" w:hAnsi="Arial" w:cs="Arial"/>
                <w:sz w:val="18"/>
                <w:szCs w:val="18"/>
              </w:rPr>
            </w:pPr>
            <w:r w:rsidRPr="00F92F35">
              <w:rPr>
                <w:rFonts w:ascii="Arial" w:hAnsi="Arial" w:cs="Arial"/>
                <w:sz w:val="18"/>
                <w:szCs w:val="18"/>
              </w:rPr>
              <w:t>173</w:t>
            </w:r>
          </w:p>
        </w:tc>
        <w:tc>
          <w:tcPr>
            <w:tcW w:w="0" w:type="auto"/>
          </w:tcPr>
          <w:p w14:paraId="58267662" w14:textId="557BE8B1" w:rsidR="00F92F35" w:rsidRPr="00F92F35" w:rsidRDefault="00F92F35" w:rsidP="00F92F35">
            <w:pPr>
              <w:jc w:val="center"/>
              <w:rPr>
                <w:rFonts w:ascii="Arial" w:hAnsi="Arial" w:cs="Arial"/>
                <w:sz w:val="18"/>
                <w:szCs w:val="18"/>
              </w:rPr>
            </w:pPr>
          </w:p>
        </w:tc>
        <w:tc>
          <w:tcPr>
            <w:tcW w:w="0" w:type="auto"/>
          </w:tcPr>
          <w:p w14:paraId="56986F75" w14:textId="35CEB17D" w:rsidR="00F92F35" w:rsidRPr="00F92F35" w:rsidRDefault="00F92F35" w:rsidP="00F92F35">
            <w:pPr>
              <w:jc w:val="center"/>
              <w:rPr>
                <w:rFonts w:ascii="Arial" w:hAnsi="Arial" w:cs="Arial"/>
                <w:sz w:val="18"/>
                <w:szCs w:val="18"/>
              </w:rPr>
            </w:pPr>
          </w:p>
        </w:tc>
        <w:tc>
          <w:tcPr>
            <w:tcW w:w="0" w:type="auto"/>
          </w:tcPr>
          <w:p w14:paraId="30F8BDE3" w14:textId="735C44F7" w:rsidR="00F92F35" w:rsidRPr="00F92F35" w:rsidRDefault="00F92F35" w:rsidP="00F92F35">
            <w:pPr>
              <w:jc w:val="center"/>
              <w:rPr>
                <w:rFonts w:ascii="Arial" w:hAnsi="Arial" w:cs="Arial"/>
                <w:sz w:val="18"/>
                <w:szCs w:val="18"/>
              </w:rPr>
            </w:pPr>
          </w:p>
        </w:tc>
        <w:tc>
          <w:tcPr>
            <w:tcW w:w="0" w:type="auto"/>
          </w:tcPr>
          <w:p w14:paraId="519973E6" w14:textId="7418B81E" w:rsidR="00F92F35" w:rsidRPr="00F92F35" w:rsidRDefault="00F92F35" w:rsidP="00F92F35">
            <w:pPr>
              <w:jc w:val="center"/>
              <w:rPr>
                <w:rFonts w:ascii="Arial" w:hAnsi="Arial" w:cs="Arial"/>
                <w:sz w:val="18"/>
                <w:szCs w:val="18"/>
              </w:rPr>
            </w:pPr>
          </w:p>
        </w:tc>
        <w:tc>
          <w:tcPr>
            <w:tcW w:w="0" w:type="auto"/>
          </w:tcPr>
          <w:p w14:paraId="07000E82" w14:textId="67BDB6BF" w:rsidR="00F92F35" w:rsidRPr="00F92F35" w:rsidRDefault="00F92F35" w:rsidP="00F92F35">
            <w:pPr>
              <w:jc w:val="center"/>
              <w:rPr>
                <w:rFonts w:ascii="Arial" w:hAnsi="Arial" w:cs="Arial"/>
                <w:sz w:val="18"/>
                <w:szCs w:val="18"/>
              </w:rPr>
            </w:pPr>
          </w:p>
        </w:tc>
        <w:tc>
          <w:tcPr>
            <w:tcW w:w="0" w:type="auto"/>
          </w:tcPr>
          <w:p w14:paraId="28393D70" w14:textId="39A77198" w:rsidR="00F92F35" w:rsidRPr="00F92F35" w:rsidRDefault="00F92F35" w:rsidP="00F92F35">
            <w:pPr>
              <w:jc w:val="center"/>
              <w:rPr>
                <w:rFonts w:ascii="Arial" w:hAnsi="Arial" w:cs="Arial"/>
                <w:sz w:val="18"/>
                <w:szCs w:val="18"/>
              </w:rPr>
            </w:pPr>
          </w:p>
        </w:tc>
      </w:tr>
      <w:tr w:rsidR="00F92F35" w14:paraId="54C29B25" w14:textId="77777777" w:rsidTr="00461403">
        <w:tc>
          <w:tcPr>
            <w:tcW w:w="0" w:type="auto"/>
          </w:tcPr>
          <w:p w14:paraId="302242CF" w14:textId="77A175FC" w:rsidR="00F92F35" w:rsidRPr="00461403" w:rsidRDefault="00F92F35" w:rsidP="00F92F35">
            <w:pPr>
              <w:keepNext/>
              <w:keepLines/>
              <w:rPr>
                <w:rFonts w:ascii="Arial" w:hAnsi="Arial" w:cs="Arial"/>
                <w:sz w:val="18"/>
                <w:szCs w:val="18"/>
              </w:rPr>
            </w:pPr>
            <w:r w:rsidRPr="00461403">
              <w:rPr>
                <w:rFonts w:ascii="Arial" w:hAnsi="Arial" w:cs="Arial"/>
                <w:sz w:val="18"/>
                <w:szCs w:val="18"/>
              </w:rPr>
              <w:t>9/10/2014</w:t>
            </w:r>
          </w:p>
        </w:tc>
        <w:tc>
          <w:tcPr>
            <w:tcW w:w="0" w:type="auto"/>
          </w:tcPr>
          <w:p w14:paraId="2D69CF73" w14:textId="6CC9D9D4" w:rsidR="00F92F35" w:rsidRPr="00F92F35" w:rsidRDefault="00F92F35" w:rsidP="00F92F35">
            <w:pPr>
              <w:jc w:val="center"/>
              <w:rPr>
                <w:rFonts w:ascii="Arial" w:hAnsi="Arial" w:cs="Arial"/>
                <w:sz w:val="18"/>
                <w:szCs w:val="18"/>
              </w:rPr>
            </w:pPr>
            <w:r w:rsidRPr="00F92F35">
              <w:rPr>
                <w:rFonts w:ascii="Arial" w:hAnsi="Arial" w:cs="Arial"/>
                <w:sz w:val="18"/>
                <w:szCs w:val="18"/>
              </w:rPr>
              <w:t>173</w:t>
            </w:r>
          </w:p>
        </w:tc>
        <w:tc>
          <w:tcPr>
            <w:tcW w:w="0" w:type="auto"/>
          </w:tcPr>
          <w:p w14:paraId="4F4836DC" w14:textId="10F8ADC8" w:rsidR="00F92F35" w:rsidRPr="00F92F35" w:rsidRDefault="00F92F35" w:rsidP="00F92F35">
            <w:pPr>
              <w:jc w:val="center"/>
              <w:rPr>
                <w:rFonts w:ascii="Arial" w:hAnsi="Arial" w:cs="Arial"/>
                <w:sz w:val="18"/>
                <w:szCs w:val="18"/>
              </w:rPr>
            </w:pPr>
          </w:p>
        </w:tc>
        <w:tc>
          <w:tcPr>
            <w:tcW w:w="0" w:type="auto"/>
          </w:tcPr>
          <w:p w14:paraId="206D65B9" w14:textId="550DE435" w:rsidR="00F92F35" w:rsidRPr="00F92F35" w:rsidRDefault="00F92F35" w:rsidP="00F92F35">
            <w:pPr>
              <w:jc w:val="center"/>
              <w:rPr>
                <w:rFonts w:ascii="Arial" w:hAnsi="Arial" w:cs="Arial"/>
                <w:sz w:val="18"/>
                <w:szCs w:val="18"/>
              </w:rPr>
            </w:pPr>
          </w:p>
        </w:tc>
        <w:tc>
          <w:tcPr>
            <w:tcW w:w="0" w:type="auto"/>
          </w:tcPr>
          <w:p w14:paraId="1FE42ED8" w14:textId="64881EAE" w:rsidR="00F92F35" w:rsidRPr="00F92F35" w:rsidRDefault="00F92F35" w:rsidP="00F92F35">
            <w:pPr>
              <w:jc w:val="center"/>
              <w:rPr>
                <w:rFonts w:ascii="Arial" w:hAnsi="Arial" w:cs="Arial"/>
                <w:sz w:val="18"/>
                <w:szCs w:val="18"/>
              </w:rPr>
            </w:pPr>
          </w:p>
        </w:tc>
        <w:tc>
          <w:tcPr>
            <w:tcW w:w="0" w:type="auto"/>
          </w:tcPr>
          <w:p w14:paraId="0FE5D6A2" w14:textId="60BD9849" w:rsidR="00F92F35" w:rsidRPr="00F92F35" w:rsidRDefault="00F92F35" w:rsidP="00F92F35">
            <w:pPr>
              <w:jc w:val="center"/>
              <w:rPr>
                <w:rFonts w:ascii="Arial" w:hAnsi="Arial" w:cs="Arial"/>
                <w:sz w:val="18"/>
                <w:szCs w:val="18"/>
              </w:rPr>
            </w:pPr>
          </w:p>
        </w:tc>
        <w:tc>
          <w:tcPr>
            <w:tcW w:w="0" w:type="auto"/>
          </w:tcPr>
          <w:p w14:paraId="7F67C73C" w14:textId="038A03BA" w:rsidR="00F92F35" w:rsidRPr="00F92F35" w:rsidRDefault="00F92F35" w:rsidP="00F92F35">
            <w:pPr>
              <w:jc w:val="center"/>
              <w:rPr>
                <w:rFonts w:ascii="Arial" w:hAnsi="Arial" w:cs="Arial"/>
                <w:sz w:val="18"/>
                <w:szCs w:val="18"/>
              </w:rPr>
            </w:pPr>
          </w:p>
        </w:tc>
        <w:tc>
          <w:tcPr>
            <w:tcW w:w="0" w:type="auto"/>
          </w:tcPr>
          <w:p w14:paraId="4B534674" w14:textId="0D9AB7CE" w:rsidR="00F92F35" w:rsidRPr="00F92F35" w:rsidRDefault="00F92F35" w:rsidP="00F92F35">
            <w:pPr>
              <w:jc w:val="center"/>
              <w:rPr>
                <w:rFonts w:ascii="Arial" w:hAnsi="Arial" w:cs="Arial"/>
                <w:sz w:val="18"/>
                <w:szCs w:val="18"/>
              </w:rPr>
            </w:pPr>
          </w:p>
        </w:tc>
      </w:tr>
      <w:tr w:rsidR="00F92F35" w14:paraId="1721361C" w14:textId="77777777" w:rsidTr="00461403">
        <w:tc>
          <w:tcPr>
            <w:tcW w:w="0" w:type="auto"/>
          </w:tcPr>
          <w:p w14:paraId="48C6AD76" w14:textId="08383FCF" w:rsidR="00F92F35" w:rsidRPr="00461403" w:rsidRDefault="00F92F35" w:rsidP="00F92F35">
            <w:pPr>
              <w:keepNext/>
              <w:keepLines/>
              <w:rPr>
                <w:rFonts w:ascii="Arial" w:hAnsi="Arial" w:cs="Arial"/>
                <w:sz w:val="18"/>
                <w:szCs w:val="18"/>
              </w:rPr>
            </w:pPr>
            <w:r w:rsidRPr="00461403">
              <w:rPr>
                <w:rFonts w:ascii="Arial" w:hAnsi="Arial" w:cs="Arial"/>
                <w:sz w:val="18"/>
                <w:szCs w:val="18"/>
              </w:rPr>
              <w:t>9/15/2014</w:t>
            </w:r>
          </w:p>
        </w:tc>
        <w:tc>
          <w:tcPr>
            <w:tcW w:w="0" w:type="auto"/>
          </w:tcPr>
          <w:p w14:paraId="08F96B9A" w14:textId="787F93D1" w:rsidR="00F92F35" w:rsidRPr="00F92F35" w:rsidRDefault="00F92F35" w:rsidP="00F92F35">
            <w:pPr>
              <w:jc w:val="center"/>
              <w:rPr>
                <w:rFonts w:ascii="Arial" w:hAnsi="Arial" w:cs="Arial"/>
                <w:sz w:val="18"/>
                <w:szCs w:val="18"/>
              </w:rPr>
            </w:pPr>
            <w:r w:rsidRPr="00F92F35">
              <w:rPr>
                <w:rFonts w:ascii="Arial" w:hAnsi="Arial" w:cs="Arial"/>
                <w:sz w:val="18"/>
                <w:szCs w:val="18"/>
              </w:rPr>
              <w:t>173</w:t>
            </w:r>
          </w:p>
        </w:tc>
        <w:tc>
          <w:tcPr>
            <w:tcW w:w="0" w:type="auto"/>
          </w:tcPr>
          <w:p w14:paraId="63A19D5A" w14:textId="58B92FDD" w:rsidR="00F92F35" w:rsidRPr="00F92F35" w:rsidRDefault="00F92F35" w:rsidP="00F92F35">
            <w:pPr>
              <w:jc w:val="center"/>
              <w:rPr>
                <w:rFonts w:ascii="Arial" w:hAnsi="Arial" w:cs="Arial"/>
                <w:sz w:val="18"/>
                <w:szCs w:val="18"/>
              </w:rPr>
            </w:pPr>
          </w:p>
        </w:tc>
        <w:tc>
          <w:tcPr>
            <w:tcW w:w="0" w:type="auto"/>
          </w:tcPr>
          <w:p w14:paraId="4A1E7E8E" w14:textId="50F817E3" w:rsidR="00F92F35" w:rsidRPr="00F92F35" w:rsidRDefault="00F92F35" w:rsidP="00F92F35">
            <w:pPr>
              <w:jc w:val="center"/>
              <w:rPr>
                <w:rFonts w:ascii="Arial" w:hAnsi="Arial" w:cs="Arial"/>
                <w:sz w:val="18"/>
                <w:szCs w:val="18"/>
              </w:rPr>
            </w:pPr>
          </w:p>
        </w:tc>
        <w:tc>
          <w:tcPr>
            <w:tcW w:w="0" w:type="auto"/>
          </w:tcPr>
          <w:p w14:paraId="0EE9E6E7" w14:textId="4575BD9D" w:rsidR="00F92F35" w:rsidRPr="00F92F35" w:rsidRDefault="00F92F35" w:rsidP="00F92F35">
            <w:pPr>
              <w:jc w:val="center"/>
              <w:rPr>
                <w:rFonts w:ascii="Arial" w:hAnsi="Arial" w:cs="Arial"/>
                <w:sz w:val="18"/>
                <w:szCs w:val="18"/>
              </w:rPr>
            </w:pPr>
          </w:p>
        </w:tc>
        <w:tc>
          <w:tcPr>
            <w:tcW w:w="0" w:type="auto"/>
          </w:tcPr>
          <w:p w14:paraId="3E4BF32D" w14:textId="2E887ED0" w:rsidR="00F92F35" w:rsidRPr="00F92F35" w:rsidRDefault="00F92F35" w:rsidP="00F92F35">
            <w:pPr>
              <w:jc w:val="center"/>
              <w:rPr>
                <w:rFonts w:ascii="Arial" w:hAnsi="Arial" w:cs="Arial"/>
                <w:sz w:val="18"/>
                <w:szCs w:val="18"/>
              </w:rPr>
            </w:pPr>
          </w:p>
        </w:tc>
        <w:tc>
          <w:tcPr>
            <w:tcW w:w="0" w:type="auto"/>
          </w:tcPr>
          <w:p w14:paraId="02BCD53A" w14:textId="4F4F4149" w:rsidR="00F92F35" w:rsidRPr="00F92F35" w:rsidRDefault="00F92F35" w:rsidP="00F92F35">
            <w:pPr>
              <w:jc w:val="center"/>
              <w:rPr>
                <w:rFonts w:ascii="Arial" w:hAnsi="Arial" w:cs="Arial"/>
                <w:sz w:val="18"/>
                <w:szCs w:val="18"/>
              </w:rPr>
            </w:pPr>
          </w:p>
        </w:tc>
        <w:tc>
          <w:tcPr>
            <w:tcW w:w="0" w:type="auto"/>
          </w:tcPr>
          <w:p w14:paraId="214CB750" w14:textId="2F2F940B" w:rsidR="00F92F35" w:rsidRPr="00F92F35" w:rsidRDefault="00F92F35" w:rsidP="00F92F35">
            <w:pPr>
              <w:jc w:val="center"/>
              <w:rPr>
                <w:rFonts w:ascii="Arial" w:hAnsi="Arial" w:cs="Arial"/>
                <w:sz w:val="18"/>
                <w:szCs w:val="18"/>
              </w:rPr>
            </w:pPr>
          </w:p>
        </w:tc>
      </w:tr>
      <w:tr w:rsidR="00F92F35" w14:paraId="5E247A2E" w14:textId="77777777" w:rsidTr="00461403">
        <w:tc>
          <w:tcPr>
            <w:tcW w:w="0" w:type="auto"/>
          </w:tcPr>
          <w:p w14:paraId="70258392" w14:textId="70F49408" w:rsidR="00F92F35" w:rsidRPr="00461403" w:rsidRDefault="00F92F35" w:rsidP="00F92F35">
            <w:pPr>
              <w:keepNext/>
              <w:keepLines/>
              <w:rPr>
                <w:rFonts w:ascii="Arial" w:hAnsi="Arial" w:cs="Arial"/>
                <w:sz w:val="18"/>
                <w:szCs w:val="18"/>
              </w:rPr>
            </w:pPr>
            <w:r w:rsidRPr="00461403">
              <w:rPr>
                <w:rFonts w:ascii="Arial" w:hAnsi="Arial" w:cs="Arial"/>
                <w:sz w:val="18"/>
                <w:szCs w:val="18"/>
              </w:rPr>
              <w:t>9/17/2014</w:t>
            </w:r>
          </w:p>
        </w:tc>
        <w:tc>
          <w:tcPr>
            <w:tcW w:w="0" w:type="auto"/>
          </w:tcPr>
          <w:p w14:paraId="6A35691B" w14:textId="06D96082" w:rsidR="00F92F35" w:rsidRPr="00F92F35" w:rsidRDefault="00F92F35" w:rsidP="00F92F35">
            <w:pPr>
              <w:jc w:val="center"/>
              <w:rPr>
                <w:rFonts w:ascii="Arial" w:hAnsi="Arial" w:cs="Arial"/>
                <w:sz w:val="18"/>
                <w:szCs w:val="18"/>
              </w:rPr>
            </w:pPr>
            <w:r w:rsidRPr="00F92F35">
              <w:rPr>
                <w:rFonts w:ascii="Arial" w:hAnsi="Arial" w:cs="Arial"/>
                <w:sz w:val="18"/>
                <w:szCs w:val="18"/>
              </w:rPr>
              <w:t>172</w:t>
            </w:r>
          </w:p>
        </w:tc>
        <w:tc>
          <w:tcPr>
            <w:tcW w:w="0" w:type="auto"/>
          </w:tcPr>
          <w:p w14:paraId="1E0E0E65" w14:textId="2DC86D67" w:rsidR="00F92F35" w:rsidRPr="00F92F35" w:rsidRDefault="00F92F35" w:rsidP="00F92F35">
            <w:pPr>
              <w:jc w:val="center"/>
              <w:rPr>
                <w:rFonts w:ascii="Arial" w:hAnsi="Arial" w:cs="Arial"/>
                <w:sz w:val="18"/>
                <w:szCs w:val="18"/>
              </w:rPr>
            </w:pPr>
          </w:p>
        </w:tc>
        <w:tc>
          <w:tcPr>
            <w:tcW w:w="0" w:type="auto"/>
          </w:tcPr>
          <w:p w14:paraId="1C4B0D83" w14:textId="259A5C02" w:rsidR="00F92F35" w:rsidRPr="00F92F35" w:rsidRDefault="00F92F35" w:rsidP="00F92F35">
            <w:pPr>
              <w:jc w:val="center"/>
              <w:rPr>
                <w:rFonts w:ascii="Arial" w:hAnsi="Arial" w:cs="Arial"/>
                <w:sz w:val="18"/>
                <w:szCs w:val="18"/>
              </w:rPr>
            </w:pPr>
          </w:p>
        </w:tc>
        <w:tc>
          <w:tcPr>
            <w:tcW w:w="0" w:type="auto"/>
          </w:tcPr>
          <w:p w14:paraId="065225BF" w14:textId="733078E2" w:rsidR="00F92F35" w:rsidRPr="00F92F35" w:rsidRDefault="00F92F35" w:rsidP="00F92F35">
            <w:pPr>
              <w:jc w:val="center"/>
              <w:rPr>
                <w:rFonts w:ascii="Arial" w:hAnsi="Arial" w:cs="Arial"/>
                <w:sz w:val="18"/>
                <w:szCs w:val="18"/>
              </w:rPr>
            </w:pPr>
          </w:p>
        </w:tc>
        <w:tc>
          <w:tcPr>
            <w:tcW w:w="0" w:type="auto"/>
          </w:tcPr>
          <w:p w14:paraId="187ECAFC" w14:textId="0A4AD094" w:rsidR="00F92F35" w:rsidRPr="00F92F35" w:rsidRDefault="00F92F35" w:rsidP="00F92F35">
            <w:pPr>
              <w:jc w:val="center"/>
              <w:rPr>
                <w:rFonts w:ascii="Arial" w:hAnsi="Arial" w:cs="Arial"/>
                <w:sz w:val="18"/>
                <w:szCs w:val="18"/>
              </w:rPr>
            </w:pPr>
          </w:p>
        </w:tc>
        <w:tc>
          <w:tcPr>
            <w:tcW w:w="0" w:type="auto"/>
          </w:tcPr>
          <w:p w14:paraId="533DDAAC" w14:textId="3F1B02E5" w:rsidR="00F92F35" w:rsidRPr="00F92F35" w:rsidRDefault="00F92F35" w:rsidP="00F92F35">
            <w:pPr>
              <w:jc w:val="center"/>
              <w:rPr>
                <w:rFonts w:ascii="Arial" w:hAnsi="Arial" w:cs="Arial"/>
                <w:sz w:val="18"/>
                <w:szCs w:val="18"/>
              </w:rPr>
            </w:pPr>
          </w:p>
        </w:tc>
        <w:tc>
          <w:tcPr>
            <w:tcW w:w="0" w:type="auto"/>
          </w:tcPr>
          <w:p w14:paraId="06FACA03" w14:textId="536E074D" w:rsidR="00F92F35" w:rsidRPr="00F92F35" w:rsidRDefault="00F92F35" w:rsidP="00F92F35">
            <w:pPr>
              <w:jc w:val="center"/>
              <w:rPr>
                <w:rFonts w:ascii="Arial" w:hAnsi="Arial" w:cs="Arial"/>
                <w:sz w:val="18"/>
                <w:szCs w:val="18"/>
              </w:rPr>
            </w:pPr>
          </w:p>
        </w:tc>
      </w:tr>
      <w:tr w:rsidR="00F92F35" w14:paraId="466B5BFB" w14:textId="77777777" w:rsidTr="00461403">
        <w:tc>
          <w:tcPr>
            <w:tcW w:w="0" w:type="auto"/>
          </w:tcPr>
          <w:p w14:paraId="78065AD8" w14:textId="71DFDAB5" w:rsidR="00F92F35" w:rsidRPr="00461403" w:rsidRDefault="00F92F35" w:rsidP="00F92F35">
            <w:pPr>
              <w:keepNext/>
              <w:keepLines/>
              <w:rPr>
                <w:rFonts w:ascii="Arial" w:hAnsi="Arial" w:cs="Arial"/>
                <w:sz w:val="18"/>
                <w:szCs w:val="18"/>
              </w:rPr>
            </w:pPr>
            <w:r w:rsidRPr="00461403">
              <w:rPr>
                <w:rFonts w:ascii="Arial" w:hAnsi="Arial" w:cs="Arial"/>
                <w:sz w:val="18"/>
                <w:szCs w:val="18"/>
              </w:rPr>
              <w:t>10/2/2014</w:t>
            </w:r>
          </w:p>
        </w:tc>
        <w:tc>
          <w:tcPr>
            <w:tcW w:w="0" w:type="auto"/>
          </w:tcPr>
          <w:p w14:paraId="26D81638" w14:textId="04C5991E" w:rsidR="00F92F35" w:rsidRPr="00F92F35" w:rsidRDefault="00F92F35" w:rsidP="00F92F35">
            <w:pPr>
              <w:jc w:val="center"/>
              <w:rPr>
                <w:rFonts w:ascii="Arial" w:hAnsi="Arial" w:cs="Arial"/>
                <w:sz w:val="18"/>
                <w:szCs w:val="18"/>
              </w:rPr>
            </w:pPr>
            <w:r w:rsidRPr="00F92F35">
              <w:rPr>
                <w:rFonts w:ascii="Arial" w:hAnsi="Arial" w:cs="Arial"/>
                <w:sz w:val="18"/>
                <w:szCs w:val="18"/>
              </w:rPr>
              <w:t>172</w:t>
            </w:r>
          </w:p>
        </w:tc>
        <w:tc>
          <w:tcPr>
            <w:tcW w:w="0" w:type="auto"/>
          </w:tcPr>
          <w:p w14:paraId="4AD91EA9" w14:textId="57EC2BFF" w:rsidR="00F92F35" w:rsidRPr="00F92F35" w:rsidRDefault="00F92F35" w:rsidP="00F92F35">
            <w:pPr>
              <w:jc w:val="center"/>
              <w:rPr>
                <w:rFonts w:ascii="Arial" w:hAnsi="Arial" w:cs="Arial"/>
                <w:sz w:val="18"/>
                <w:szCs w:val="18"/>
              </w:rPr>
            </w:pPr>
          </w:p>
        </w:tc>
        <w:tc>
          <w:tcPr>
            <w:tcW w:w="0" w:type="auto"/>
          </w:tcPr>
          <w:p w14:paraId="067A1BB4" w14:textId="2360E98B" w:rsidR="00F92F35" w:rsidRPr="00F92F35" w:rsidRDefault="00F92F35" w:rsidP="00F92F35">
            <w:pPr>
              <w:jc w:val="center"/>
              <w:rPr>
                <w:rFonts w:ascii="Arial" w:hAnsi="Arial" w:cs="Arial"/>
                <w:sz w:val="18"/>
                <w:szCs w:val="18"/>
              </w:rPr>
            </w:pPr>
          </w:p>
        </w:tc>
        <w:tc>
          <w:tcPr>
            <w:tcW w:w="0" w:type="auto"/>
          </w:tcPr>
          <w:p w14:paraId="158587DC" w14:textId="0F0DE6EE" w:rsidR="00F92F35" w:rsidRPr="00F92F35" w:rsidRDefault="00F92F35" w:rsidP="00F92F35">
            <w:pPr>
              <w:jc w:val="center"/>
              <w:rPr>
                <w:rFonts w:ascii="Arial" w:hAnsi="Arial" w:cs="Arial"/>
                <w:sz w:val="18"/>
                <w:szCs w:val="18"/>
              </w:rPr>
            </w:pPr>
          </w:p>
        </w:tc>
        <w:tc>
          <w:tcPr>
            <w:tcW w:w="0" w:type="auto"/>
          </w:tcPr>
          <w:p w14:paraId="3EB9B0A1" w14:textId="2340FBF0" w:rsidR="00F92F35" w:rsidRPr="00F92F35" w:rsidRDefault="00F92F35" w:rsidP="00F92F35">
            <w:pPr>
              <w:jc w:val="center"/>
              <w:rPr>
                <w:rFonts w:ascii="Arial" w:hAnsi="Arial" w:cs="Arial"/>
                <w:sz w:val="18"/>
                <w:szCs w:val="18"/>
              </w:rPr>
            </w:pPr>
          </w:p>
        </w:tc>
        <w:tc>
          <w:tcPr>
            <w:tcW w:w="0" w:type="auto"/>
          </w:tcPr>
          <w:p w14:paraId="74B9E2AF" w14:textId="634683F3" w:rsidR="00F92F35" w:rsidRPr="00F92F35" w:rsidRDefault="00F92F35" w:rsidP="00F92F35">
            <w:pPr>
              <w:jc w:val="center"/>
              <w:rPr>
                <w:rFonts w:ascii="Arial" w:hAnsi="Arial" w:cs="Arial"/>
                <w:sz w:val="18"/>
                <w:szCs w:val="18"/>
              </w:rPr>
            </w:pPr>
          </w:p>
        </w:tc>
        <w:tc>
          <w:tcPr>
            <w:tcW w:w="0" w:type="auto"/>
          </w:tcPr>
          <w:p w14:paraId="1A3A3762" w14:textId="7D19D67D" w:rsidR="00F92F35" w:rsidRPr="00F92F35" w:rsidRDefault="00F92F35" w:rsidP="00F92F35">
            <w:pPr>
              <w:jc w:val="center"/>
              <w:rPr>
                <w:rFonts w:ascii="Arial" w:hAnsi="Arial" w:cs="Arial"/>
                <w:sz w:val="18"/>
                <w:szCs w:val="18"/>
              </w:rPr>
            </w:pPr>
          </w:p>
        </w:tc>
      </w:tr>
      <w:tr w:rsidR="00F92F35" w14:paraId="25B71264" w14:textId="77777777" w:rsidTr="00461403">
        <w:tc>
          <w:tcPr>
            <w:tcW w:w="0" w:type="auto"/>
          </w:tcPr>
          <w:p w14:paraId="75AB3F6D" w14:textId="33D64FDC" w:rsidR="00F92F35" w:rsidRPr="00461403" w:rsidRDefault="00F92F35" w:rsidP="00F92F35">
            <w:pPr>
              <w:keepNext/>
              <w:keepLines/>
              <w:rPr>
                <w:rFonts w:ascii="Arial" w:hAnsi="Arial" w:cs="Arial"/>
                <w:sz w:val="18"/>
                <w:szCs w:val="18"/>
              </w:rPr>
            </w:pPr>
            <w:r w:rsidRPr="00461403">
              <w:rPr>
                <w:rFonts w:ascii="Arial" w:hAnsi="Arial" w:cs="Arial"/>
                <w:sz w:val="18"/>
                <w:szCs w:val="18"/>
              </w:rPr>
              <w:t>10/6/2014</w:t>
            </w:r>
          </w:p>
        </w:tc>
        <w:tc>
          <w:tcPr>
            <w:tcW w:w="0" w:type="auto"/>
          </w:tcPr>
          <w:p w14:paraId="45AD1D4D" w14:textId="218499AB" w:rsidR="00F92F35" w:rsidRPr="00F92F35" w:rsidRDefault="00F92F35" w:rsidP="00F92F35">
            <w:pPr>
              <w:jc w:val="center"/>
              <w:rPr>
                <w:rFonts w:ascii="Arial" w:hAnsi="Arial" w:cs="Arial"/>
                <w:sz w:val="18"/>
                <w:szCs w:val="18"/>
              </w:rPr>
            </w:pPr>
            <w:r w:rsidRPr="00F92F35">
              <w:rPr>
                <w:rFonts w:ascii="Arial" w:hAnsi="Arial" w:cs="Arial"/>
                <w:sz w:val="18"/>
                <w:szCs w:val="18"/>
              </w:rPr>
              <w:t>172</w:t>
            </w:r>
          </w:p>
        </w:tc>
        <w:tc>
          <w:tcPr>
            <w:tcW w:w="0" w:type="auto"/>
          </w:tcPr>
          <w:p w14:paraId="1D49F19C" w14:textId="2FBCFA8E" w:rsidR="00F92F35" w:rsidRPr="00F92F35" w:rsidRDefault="00F92F35" w:rsidP="00F92F35">
            <w:pPr>
              <w:jc w:val="center"/>
              <w:rPr>
                <w:rFonts w:ascii="Arial" w:hAnsi="Arial" w:cs="Arial"/>
                <w:sz w:val="18"/>
                <w:szCs w:val="18"/>
              </w:rPr>
            </w:pPr>
          </w:p>
        </w:tc>
        <w:tc>
          <w:tcPr>
            <w:tcW w:w="0" w:type="auto"/>
          </w:tcPr>
          <w:p w14:paraId="38C6B0F5" w14:textId="51150DBD" w:rsidR="00F92F35" w:rsidRPr="00F92F35" w:rsidRDefault="00F92F35" w:rsidP="00F92F35">
            <w:pPr>
              <w:jc w:val="center"/>
              <w:rPr>
                <w:rFonts w:ascii="Arial" w:hAnsi="Arial" w:cs="Arial"/>
                <w:sz w:val="18"/>
                <w:szCs w:val="18"/>
              </w:rPr>
            </w:pPr>
          </w:p>
        </w:tc>
        <w:tc>
          <w:tcPr>
            <w:tcW w:w="0" w:type="auto"/>
          </w:tcPr>
          <w:p w14:paraId="397F8531" w14:textId="0BB24531" w:rsidR="00F92F35" w:rsidRPr="00F92F35" w:rsidRDefault="00F92F35" w:rsidP="00F92F35">
            <w:pPr>
              <w:jc w:val="center"/>
              <w:rPr>
                <w:rFonts w:ascii="Arial" w:hAnsi="Arial" w:cs="Arial"/>
                <w:sz w:val="18"/>
                <w:szCs w:val="18"/>
              </w:rPr>
            </w:pPr>
          </w:p>
        </w:tc>
        <w:tc>
          <w:tcPr>
            <w:tcW w:w="0" w:type="auto"/>
          </w:tcPr>
          <w:p w14:paraId="6C2568A3" w14:textId="234791D4" w:rsidR="00F92F35" w:rsidRPr="00F92F35" w:rsidRDefault="00F92F35" w:rsidP="00F92F35">
            <w:pPr>
              <w:jc w:val="center"/>
              <w:rPr>
                <w:rFonts w:ascii="Arial" w:hAnsi="Arial" w:cs="Arial"/>
                <w:sz w:val="18"/>
                <w:szCs w:val="18"/>
              </w:rPr>
            </w:pPr>
          </w:p>
        </w:tc>
        <w:tc>
          <w:tcPr>
            <w:tcW w:w="0" w:type="auto"/>
          </w:tcPr>
          <w:p w14:paraId="722C2C20" w14:textId="0CAB50CD" w:rsidR="00F92F35" w:rsidRPr="00F92F35" w:rsidRDefault="00F92F35" w:rsidP="00F92F35">
            <w:pPr>
              <w:jc w:val="center"/>
              <w:rPr>
                <w:rFonts w:ascii="Arial" w:hAnsi="Arial" w:cs="Arial"/>
                <w:sz w:val="18"/>
                <w:szCs w:val="18"/>
              </w:rPr>
            </w:pPr>
          </w:p>
        </w:tc>
        <w:tc>
          <w:tcPr>
            <w:tcW w:w="0" w:type="auto"/>
          </w:tcPr>
          <w:p w14:paraId="23A5ABA8" w14:textId="1A60BFD0" w:rsidR="00F92F35" w:rsidRPr="00F92F35" w:rsidRDefault="00F92F35" w:rsidP="00F92F35">
            <w:pPr>
              <w:jc w:val="center"/>
              <w:rPr>
                <w:rFonts w:ascii="Arial" w:hAnsi="Arial" w:cs="Arial"/>
                <w:sz w:val="18"/>
                <w:szCs w:val="18"/>
              </w:rPr>
            </w:pPr>
          </w:p>
        </w:tc>
      </w:tr>
      <w:tr w:rsidR="00F92F35" w14:paraId="062CC034" w14:textId="77777777" w:rsidTr="00461403">
        <w:tc>
          <w:tcPr>
            <w:tcW w:w="0" w:type="auto"/>
          </w:tcPr>
          <w:p w14:paraId="38700D2E" w14:textId="77777777" w:rsidR="00F92F35" w:rsidRPr="00461403" w:rsidRDefault="00F92F35" w:rsidP="00F92F35">
            <w:pPr>
              <w:jc w:val="center"/>
              <w:rPr>
                <w:rFonts w:ascii="Arial" w:hAnsi="Arial" w:cs="Arial"/>
                <w:b/>
                <w:sz w:val="18"/>
                <w:szCs w:val="18"/>
              </w:rPr>
            </w:pPr>
            <w:r w:rsidRPr="00461403">
              <w:rPr>
                <w:rFonts w:ascii="Arial" w:hAnsi="Arial" w:cs="Arial"/>
                <w:b/>
                <w:sz w:val="18"/>
                <w:szCs w:val="18"/>
              </w:rPr>
              <w:t>Average</w:t>
            </w:r>
          </w:p>
        </w:tc>
        <w:tc>
          <w:tcPr>
            <w:tcW w:w="0" w:type="auto"/>
          </w:tcPr>
          <w:p w14:paraId="3DB668B7" w14:textId="09E1BCB9" w:rsidR="00F92F35" w:rsidRPr="00F92F35" w:rsidRDefault="00F92F35" w:rsidP="00F92F35">
            <w:pPr>
              <w:jc w:val="center"/>
              <w:rPr>
                <w:rFonts w:ascii="Arial" w:hAnsi="Arial" w:cs="Arial"/>
                <w:b/>
                <w:sz w:val="18"/>
                <w:szCs w:val="18"/>
              </w:rPr>
            </w:pPr>
            <w:r w:rsidRPr="00F92F35">
              <w:rPr>
                <w:rFonts w:ascii="Arial" w:hAnsi="Arial" w:cs="Arial"/>
                <w:b/>
                <w:sz w:val="18"/>
                <w:szCs w:val="18"/>
              </w:rPr>
              <w:t>173</w:t>
            </w:r>
          </w:p>
        </w:tc>
        <w:tc>
          <w:tcPr>
            <w:tcW w:w="0" w:type="auto"/>
          </w:tcPr>
          <w:p w14:paraId="19DC0781" w14:textId="6B203ADB" w:rsidR="00F92F35" w:rsidRPr="00F92F35" w:rsidRDefault="00F92F35" w:rsidP="00F92F35">
            <w:pPr>
              <w:jc w:val="center"/>
              <w:rPr>
                <w:rFonts w:ascii="Arial" w:hAnsi="Arial" w:cs="Arial"/>
                <w:b/>
                <w:sz w:val="18"/>
                <w:szCs w:val="18"/>
              </w:rPr>
            </w:pPr>
            <w:r w:rsidRPr="00F92F35">
              <w:rPr>
                <w:rFonts w:ascii="Arial" w:hAnsi="Arial" w:cs="Arial"/>
                <w:b/>
                <w:sz w:val="18"/>
                <w:szCs w:val="18"/>
              </w:rPr>
              <w:t>28</w:t>
            </w:r>
          </w:p>
        </w:tc>
        <w:tc>
          <w:tcPr>
            <w:tcW w:w="0" w:type="auto"/>
          </w:tcPr>
          <w:p w14:paraId="29189D3B" w14:textId="79FA1F6A" w:rsidR="00F92F35" w:rsidRPr="00F92F35" w:rsidRDefault="00F92F35" w:rsidP="00F92F35">
            <w:pPr>
              <w:jc w:val="center"/>
              <w:rPr>
                <w:rFonts w:ascii="Arial" w:hAnsi="Arial" w:cs="Arial"/>
                <w:b/>
                <w:sz w:val="18"/>
                <w:szCs w:val="18"/>
              </w:rPr>
            </w:pPr>
            <w:r w:rsidRPr="00F92F35">
              <w:rPr>
                <w:rFonts w:ascii="Arial" w:hAnsi="Arial" w:cs="Arial"/>
                <w:b/>
                <w:sz w:val="18"/>
                <w:szCs w:val="18"/>
              </w:rPr>
              <w:t>73.2</w:t>
            </w:r>
          </w:p>
        </w:tc>
        <w:tc>
          <w:tcPr>
            <w:tcW w:w="0" w:type="auto"/>
          </w:tcPr>
          <w:p w14:paraId="3054B135" w14:textId="4B7D9FA0" w:rsidR="00F92F35" w:rsidRPr="00F92F35" w:rsidRDefault="00F92F35" w:rsidP="00F92F35">
            <w:pPr>
              <w:jc w:val="center"/>
              <w:rPr>
                <w:rFonts w:ascii="Arial" w:hAnsi="Arial" w:cs="Arial"/>
                <w:b/>
                <w:sz w:val="18"/>
                <w:szCs w:val="18"/>
              </w:rPr>
            </w:pPr>
            <w:r w:rsidRPr="00F92F35">
              <w:rPr>
                <w:rFonts w:ascii="Arial" w:hAnsi="Arial" w:cs="Arial"/>
                <w:b/>
                <w:sz w:val="18"/>
                <w:szCs w:val="18"/>
              </w:rPr>
              <w:t>66.1</w:t>
            </w:r>
          </w:p>
        </w:tc>
        <w:tc>
          <w:tcPr>
            <w:tcW w:w="0" w:type="auto"/>
          </w:tcPr>
          <w:p w14:paraId="3C1F10C0" w14:textId="14596E5D" w:rsidR="00F92F35" w:rsidRPr="00F92F35" w:rsidRDefault="00F92F35" w:rsidP="00F92F35">
            <w:pPr>
              <w:jc w:val="center"/>
              <w:rPr>
                <w:rFonts w:ascii="Arial" w:hAnsi="Arial" w:cs="Arial"/>
                <w:b/>
                <w:sz w:val="18"/>
                <w:szCs w:val="18"/>
              </w:rPr>
            </w:pPr>
            <w:r w:rsidRPr="00F92F35">
              <w:rPr>
                <w:rFonts w:ascii="Arial" w:hAnsi="Arial" w:cs="Arial"/>
                <w:b/>
                <w:sz w:val="18"/>
                <w:szCs w:val="18"/>
              </w:rPr>
              <w:t>7.2</w:t>
            </w:r>
          </w:p>
        </w:tc>
        <w:tc>
          <w:tcPr>
            <w:tcW w:w="0" w:type="auto"/>
          </w:tcPr>
          <w:p w14:paraId="0ED26F11" w14:textId="793B5E54" w:rsidR="00F92F35" w:rsidRPr="00F92F35" w:rsidRDefault="00F92F35" w:rsidP="00F92F35">
            <w:pPr>
              <w:jc w:val="center"/>
              <w:rPr>
                <w:rFonts w:ascii="Arial" w:hAnsi="Arial" w:cs="Arial"/>
                <w:b/>
                <w:sz w:val="18"/>
                <w:szCs w:val="18"/>
              </w:rPr>
            </w:pPr>
            <w:r w:rsidRPr="00F92F35">
              <w:rPr>
                <w:rFonts w:ascii="Arial" w:hAnsi="Arial" w:cs="Arial"/>
                <w:b/>
                <w:sz w:val="18"/>
                <w:szCs w:val="18"/>
              </w:rPr>
              <w:t>9.8%</w:t>
            </w:r>
          </w:p>
        </w:tc>
        <w:tc>
          <w:tcPr>
            <w:tcW w:w="0" w:type="auto"/>
          </w:tcPr>
          <w:p w14:paraId="39FBA66F" w14:textId="66084D2C" w:rsidR="00F92F35" w:rsidRPr="00F92F35" w:rsidRDefault="00F92F35" w:rsidP="00F92F35">
            <w:pPr>
              <w:jc w:val="center"/>
              <w:rPr>
                <w:rFonts w:ascii="Arial" w:hAnsi="Arial" w:cs="Arial"/>
                <w:b/>
                <w:sz w:val="18"/>
                <w:szCs w:val="18"/>
              </w:rPr>
            </w:pPr>
            <w:r w:rsidRPr="00F92F35">
              <w:rPr>
                <w:rFonts w:ascii="Arial" w:hAnsi="Arial" w:cs="Arial"/>
                <w:b/>
                <w:sz w:val="18"/>
                <w:szCs w:val="18"/>
              </w:rPr>
              <w:t>23.0</w:t>
            </w:r>
          </w:p>
        </w:tc>
      </w:tr>
    </w:tbl>
    <w:p w14:paraId="7DD63020" w14:textId="77777777" w:rsidR="00461403" w:rsidRDefault="00461403" w:rsidP="00461403"/>
    <w:p w14:paraId="1D014665" w14:textId="77777777" w:rsidR="00461403" w:rsidRPr="00F7268D" w:rsidRDefault="00461403" w:rsidP="00461403">
      <w:pPr>
        <w:rPr>
          <w:i/>
        </w:rPr>
      </w:pPr>
      <w:r w:rsidRPr="00F7268D">
        <w:rPr>
          <w:i/>
        </w:rPr>
        <w:t>AutoDR</w:t>
      </w:r>
    </w:p>
    <w:p w14:paraId="08EC5CEA" w14:textId="63D70497" w:rsidR="00461403" w:rsidRDefault="00461403" w:rsidP="00461403">
      <w:r>
        <w:t>Table 4.18 shows the total DBP load impacts for SCE’s AutoDR participants</w:t>
      </w:r>
      <w:r w:rsidRPr="00845F91">
        <w:t xml:space="preserve">. </w:t>
      </w:r>
      <w:r>
        <w:t xml:space="preserve">Approximately </w:t>
      </w:r>
      <w:r w:rsidR="00F92F35">
        <w:t>239</w:t>
      </w:r>
      <w:r>
        <w:t xml:space="preserve"> DBP service accounts participated in AutoDR, with an average of 1</w:t>
      </w:r>
      <w:r w:rsidR="00F92F35">
        <w:t>44</w:t>
      </w:r>
      <w:r>
        <w:t xml:space="preserve"> participants bidding during each event. </w:t>
      </w:r>
      <w:r w:rsidR="00F92F35">
        <w:t>Load impacts from these customers averaged 22.5 MW across the seven event days, or 10.8 percent of the reference load (including Auto-DR customers that did not submit a bid).</w:t>
      </w:r>
    </w:p>
    <w:p w14:paraId="6EB53354" w14:textId="77777777" w:rsidR="00461403" w:rsidRDefault="00461403" w:rsidP="00461403"/>
    <w:p w14:paraId="387F11CE" w14:textId="721EF771" w:rsidR="00461403" w:rsidRPr="00852320" w:rsidRDefault="00461403" w:rsidP="00461403">
      <w:pPr>
        <w:pStyle w:val="TableCaption"/>
        <w:keepNext/>
        <w:keepLines/>
      </w:pPr>
      <w:bookmarkStart w:id="155" w:name="_Toc383598000"/>
      <w:bookmarkStart w:id="156" w:name="_Toc415761889"/>
      <w:r w:rsidRPr="00087B03">
        <w:t xml:space="preserve">Table 4.18: Average </w:t>
      </w:r>
      <w:r w:rsidR="00370C78">
        <w:t>Event-</w:t>
      </w:r>
      <w:r w:rsidRPr="00087B03">
        <w:t xml:space="preserve">Hour Load Impacts by Event, </w:t>
      </w:r>
      <w:r w:rsidRPr="00087B03">
        <w:rPr>
          <w:i/>
        </w:rPr>
        <w:t>SCE AutoDR</w:t>
      </w:r>
      <w:bookmarkEnd w:id="155"/>
      <w:bookmarkEnd w:id="156"/>
    </w:p>
    <w:tbl>
      <w:tblPr>
        <w:tblW w:w="88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32"/>
        <w:gridCol w:w="984"/>
        <w:gridCol w:w="1063"/>
        <w:gridCol w:w="1292"/>
        <w:gridCol w:w="1153"/>
        <w:gridCol w:w="1252"/>
        <w:gridCol w:w="872"/>
        <w:gridCol w:w="1208"/>
      </w:tblGrid>
      <w:tr w:rsidR="00461403" w14:paraId="77629863" w14:textId="77777777" w:rsidTr="00461403">
        <w:tc>
          <w:tcPr>
            <w:tcW w:w="0" w:type="auto"/>
            <w:tcBorders>
              <w:top w:val="single" w:sz="4" w:space="0" w:color="auto"/>
              <w:bottom w:val="single" w:sz="4" w:space="0" w:color="auto"/>
              <w:right w:val="single" w:sz="4" w:space="0" w:color="auto"/>
            </w:tcBorders>
            <w:shd w:val="clear" w:color="auto" w:fill="D9E2F3"/>
            <w:vAlign w:val="center"/>
          </w:tcPr>
          <w:p w14:paraId="7DDAE213" w14:textId="77777777" w:rsidR="00461403" w:rsidRPr="00773FF3" w:rsidRDefault="00461403" w:rsidP="00461403">
            <w:pPr>
              <w:keepNext/>
              <w:keepLines/>
              <w:rPr>
                <w:rFonts w:ascii="Arial" w:hAnsi="Arial" w:cs="Arial"/>
                <w:b/>
                <w:sz w:val="18"/>
                <w:szCs w:val="18"/>
              </w:rPr>
            </w:pPr>
            <w:r w:rsidRPr="00773FF3">
              <w:rPr>
                <w:rFonts w:ascii="Arial" w:hAnsi="Arial" w:cs="Arial"/>
                <w:b/>
                <w:sz w:val="18"/>
                <w:szCs w:val="18"/>
              </w:rPr>
              <w:t>Event Date</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511FF5BA"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Number of SAIDs</w:t>
            </w:r>
          </w:p>
        </w:tc>
        <w:tc>
          <w:tcPr>
            <w:tcW w:w="0" w:type="auto"/>
            <w:tcBorders>
              <w:top w:val="single" w:sz="4" w:space="0" w:color="auto"/>
              <w:left w:val="single" w:sz="4" w:space="0" w:color="auto"/>
              <w:bottom w:val="single" w:sz="4" w:space="0" w:color="auto"/>
              <w:right w:val="single" w:sz="4" w:space="0" w:color="auto"/>
            </w:tcBorders>
            <w:shd w:val="clear" w:color="auto" w:fill="D9E2F3"/>
          </w:tcPr>
          <w:p w14:paraId="5222C01A" w14:textId="77777777" w:rsidR="00461403" w:rsidRPr="00773FF3" w:rsidRDefault="00461403" w:rsidP="00461403">
            <w:pPr>
              <w:keepNext/>
              <w:keepLines/>
              <w:jc w:val="center"/>
              <w:rPr>
                <w:rFonts w:ascii="Arial" w:hAnsi="Arial" w:cs="Arial"/>
                <w:b/>
                <w:sz w:val="18"/>
                <w:szCs w:val="18"/>
              </w:rPr>
            </w:pPr>
            <w:r>
              <w:rPr>
                <w:rFonts w:ascii="Arial" w:hAnsi="Arial" w:cs="Arial"/>
                <w:b/>
                <w:sz w:val="18"/>
                <w:szCs w:val="18"/>
              </w:rPr>
              <w:t>Number of Bidding SAIDs</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1A3095FE"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Estimated Reference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54F6DE01"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Observed Load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1DAFB710"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Estimated Load Impact (</w:t>
            </w:r>
            <w:r>
              <w:rPr>
                <w:rFonts w:ascii="Arial" w:hAnsi="Arial" w:cs="Arial"/>
                <w:b/>
                <w:sz w:val="18"/>
                <w:szCs w:val="18"/>
              </w:rPr>
              <w:t>M</w:t>
            </w:r>
            <w:r w:rsidRPr="00773FF3">
              <w:rPr>
                <w:rFonts w:ascii="Arial" w:hAnsi="Arial" w:cs="Arial"/>
                <w:b/>
                <w:sz w:val="18"/>
                <w:szCs w:val="18"/>
              </w:rPr>
              <w:t>W)</w:t>
            </w:r>
          </w:p>
        </w:tc>
        <w:tc>
          <w:tcPr>
            <w:tcW w:w="0" w:type="auto"/>
            <w:tcBorders>
              <w:top w:val="single" w:sz="4" w:space="0" w:color="auto"/>
              <w:left w:val="single" w:sz="4" w:space="0" w:color="auto"/>
              <w:bottom w:val="single" w:sz="4" w:space="0" w:color="auto"/>
              <w:right w:val="single" w:sz="4" w:space="0" w:color="auto"/>
            </w:tcBorders>
            <w:shd w:val="clear" w:color="auto" w:fill="D9E2F3"/>
            <w:vAlign w:val="center"/>
          </w:tcPr>
          <w:p w14:paraId="790EAD76" w14:textId="77777777" w:rsidR="00461403" w:rsidRPr="00773FF3" w:rsidRDefault="00461403" w:rsidP="00461403">
            <w:pPr>
              <w:keepNext/>
              <w:keepLines/>
              <w:jc w:val="center"/>
              <w:rPr>
                <w:rFonts w:ascii="Arial" w:hAnsi="Arial" w:cs="Arial"/>
                <w:b/>
                <w:sz w:val="18"/>
                <w:szCs w:val="18"/>
              </w:rPr>
            </w:pPr>
            <w:r w:rsidRPr="00773FF3">
              <w:rPr>
                <w:rFonts w:ascii="Arial" w:hAnsi="Arial" w:cs="Arial"/>
                <w:b/>
                <w:sz w:val="18"/>
                <w:szCs w:val="18"/>
              </w:rPr>
              <w:t>% Load Impact</w:t>
            </w:r>
          </w:p>
        </w:tc>
        <w:tc>
          <w:tcPr>
            <w:tcW w:w="0" w:type="auto"/>
            <w:tcBorders>
              <w:top w:val="single" w:sz="4" w:space="0" w:color="auto"/>
              <w:left w:val="single" w:sz="4" w:space="0" w:color="auto"/>
              <w:bottom w:val="single" w:sz="4" w:space="0" w:color="auto"/>
            </w:tcBorders>
            <w:shd w:val="clear" w:color="auto" w:fill="D9E2F3"/>
            <w:vAlign w:val="center"/>
          </w:tcPr>
          <w:p w14:paraId="4321811A" w14:textId="77777777" w:rsidR="00461403" w:rsidRPr="00773FF3" w:rsidRDefault="00461403" w:rsidP="00461403">
            <w:pPr>
              <w:keepNext/>
              <w:keepLines/>
              <w:jc w:val="center"/>
              <w:rPr>
                <w:rFonts w:ascii="Arial" w:hAnsi="Arial" w:cs="Arial"/>
                <w:b/>
                <w:sz w:val="18"/>
                <w:szCs w:val="18"/>
              </w:rPr>
            </w:pPr>
            <w:r>
              <w:rPr>
                <w:rFonts w:ascii="Arial" w:hAnsi="Arial" w:cs="Arial"/>
                <w:b/>
                <w:sz w:val="18"/>
                <w:szCs w:val="18"/>
              </w:rPr>
              <w:t>Approved MW for Bidders</w:t>
            </w:r>
          </w:p>
        </w:tc>
      </w:tr>
      <w:tr w:rsidR="00F92F35" w14:paraId="788D84E6" w14:textId="77777777" w:rsidTr="00587396">
        <w:tc>
          <w:tcPr>
            <w:tcW w:w="0" w:type="auto"/>
            <w:tcBorders>
              <w:top w:val="single" w:sz="4" w:space="0" w:color="auto"/>
            </w:tcBorders>
          </w:tcPr>
          <w:p w14:paraId="1C7CF4EB" w14:textId="78CC10FC" w:rsidR="00F92F35" w:rsidRPr="007E0A27" w:rsidRDefault="00F92F35" w:rsidP="00F92F35">
            <w:pPr>
              <w:keepNext/>
              <w:keepLines/>
              <w:rPr>
                <w:rFonts w:ascii="Arial" w:hAnsi="Arial" w:cs="Arial"/>
                <w:sz w:val="20"/>
                <w:szCs w:val="20"/>
              </w:rPr>
            </w:pPr>
            <w:r w:rsidRPr="00461403">
              <w:rPr>
                <w:rFonts w:ascii="Arial" w:hAnsi="Arial" w:cs="Arial"/>
                <w:sz w:val="18"/>
                <w:szCs w:val="18"/>
              </w:rPr>
              <w:t>7/14/2014</w:t>
            </w:r>
          </w:p>
        </w:tc>
        <w:tc>
          <w:tcPr>
            <w:tcW w:w="0" w:type="auto"/>
            <w:tcBorders>
              <w:top w:val="single" w:sz="4" w:space="0" w:color="auto"/>
            </w:tcBorders>
          </w:tcPr>
          <w:p w14:paraId="00CCA508" w14:textId="47B49CAA" w:rsidR="00F92F35" w:rsidRPr="00087B03" w:rsidRDefault="00F92F35" w:rsidP="00F92F35">
            <w:pPr>
              <w:jc w:val="center"/>
              <w:rPr>
                <w:rFonts w:ascii="Arial" w:hAnsi="Arial" w:cs="Arial"/>
                <w:sz w:val="20"/>
                <w:szCs w:val="20"/>
              </w:rPr>
            </w:pPr>
            <w:r w:rsidRPr="00461403">
              <w:rPr>
                <w:rFonts w:ascii="Arial" w:hAnsi="Arial" w:cs="Arial"/>
                <w:sz w:val="18"/>
                <w:szCs w:val="18"/>
              </w:rPr>
              <w:t>238</w:t>
            </w:r>
          </w:p>
        </w:tc>
        <w:tc>
          <w:tcPr>
            <w:tcW w:w="0" w:type="auto"/>
            <w:tcBorders>
              <w:top w:val="single" w:sz="4" w:space="0" w:color="auto"/>
            </w:tcBorders>
          </w:tcPr>
          <w:p w14:paraId="45E3C639" w14:textId="76EB0F2E" w:rsidR="00F92F35" w:rsidRPr="00087B03" w:rsidRDefault="00F92F35" w:rsidP="00F92F35">
            <w:pPr>
              <w:jc w:val="center"/>
              <w:rPr>
                <w:rFonts w:ascii="Arial" w:hAnsi="Arial" w:cs="Arial"/>
                <w:sz w:val="20"/>
                <w:szCs w:val="20"/>
              </w:rPr>
            </w:pPr>
            <w:r w:rsidRPr="00461403">
              <w:rPr>
                <w:rFonts w:ascii="Arial" w:hAnsi="Arial" w:cs="Arial"/>
                <w:sz w:val="18"/>
                <w:szCs w:val="18"/>
              </w:rPr>
              <w:t>148</w:t>
            </w:r>
          </w:p>
        </w:tc>
        <w:tc>
          <w:tcPr>
            <w:tcW w:w="0" w:type="auto"/>
            <w:tcBorders>
              <w:top w:val="single" w:sz="4" w:space="0" w:color="auto"/>
            </w:tcBorders>
          </w:tcPr>
          <w:p w14:paraId="4E3859E4" w14:textId="32B2475B" w:rsidR="00F92F35" w:rsidRPr="00087B03" w:rsidRDefault="00F92F35" w:rsidP="00F92F35">
            <w:pPr>
              <w:jc w:val="center"/>
              <w:rPr>
                <w:rFonts w:ascii="Arial" w:hAnsi="Arial" w:cs="Arial"/>
                <w:sz w:val="20"/>
                <w:szCs w:val="20"/>
              </w:rPr>
            </w:pPr>
            <w:r w:rsidRPr="00461403">
              <w:rPr>
                <w:rFonts w:ascii="Arial" w:hAnsi="Arial" w:cs="Arial"/>
                <w:sz w:val="18"/>
                <w:szCs w:val="18"/>
              </w:rPr>
              <w:t>204.2</w:t>
            </w:r>
          </w:p>
        </w:tc>
        <w:tc>
          <w:tcPr>
            <w:tcW w:w="0" w:type="auto"/>
            <w:tcBorders>
              <w:top w:val="single" w:sz="4" w:space="0" w:color="auto"/>
            </w:tcBorders>
          </w:tcPr>
          <w:p w14:paraId="62DD5552" w14:textId="7C683A68" w:rsidR="00F92F35" w:rsidRPr="00087B03" w:rsidRDefault="00F92F35" w:rsidP="00F92F35">
            <w:pPr>
              <w:jc w:val="center"/>
              <w:rPr>
                <w:rFonts w:ascii="Arial" w:hAnsi="Arial" w:cs="Arial"/>
                <w:sz w:val="20"/>
                <w:szCs w:val="20"/>
              </w:rPr>
            </w:pPr>
            <w:r w:rsidRPr="00461403">
              <w:rPr>
                <w:rFonts w:ascii="Arial" w:hAnsi="Arial" w:cs="Arial"/>
                <w:sz w:val="18"/>
                <w:szCs w:val="18"/>
              </w:rPr>
              <w:t>174.8</w:t>
            </w:r>
          </w:p>
        </w:tc>
        <w:tc>
          <w:tcPr>
            <w:tcW w:w="0" w:type="auto"/>
            <w:tcBorders>
              <w:top w:val="single" w:sz="4" w:space="0" w:color="auto"/>
            </w:tcBorders>
          </w:tcPr>
          <w:p w14:paraId="601F0E4B" w14:textId="4595AB81" w:rsidR="00F92F35" w:rsidRPr="00087B03" w:rsidRDefault="00F92F35" w:rsidP="00F92F35">
            <w:pPr>
              <w:jc w:val="center"/>
              <w:rPr>
                <w:rFonts w:ascii="Arial" w:hAnsi="Arial" w:cs="Arial"/>
                <w:sz w:val="20"/>
                <w:szCs w:val="20"/>
              </w:rPr>
            </w:pPr>
            <w:r w:rsidRPr="00461403">
              <w:rPr>
                <w:rFonts w:ascii="Arial" w:hAnsi="Arial" w:cs="Arial"/>
                <w:sz w:val="18"/>
                <w:szCs w:val="18"/>
              </w:rPr>
              <w:t>29.4</w:t>
            </w:r>
          </w:p>
        </w:tc>
        <w:tc>
          <w:tcPr>
            <w:tcW w:w="0" w:type="auto"/>
            <w:tcBorders>
              <w:top w:val="single" w:sz="4" w:space="0" w:color="auto"/>
            </w:tcBorders>
          </w:tcPr>
          <w:p w14:paraId="2274357B" w14:textId="19E15A4B" w:rsidR="00F92F35" w:rsidRPr="00087B03" w:rsidRDefault="00F92F35" w:rsidP="00F92F35">
            <w:pPr>
              <w:jc w:val="center"/>
              <w:rPr>
                <w:rFonts w:ascii="Arial" w:hAnsi="Arial" w:cs="Arial"/>
                <w:sz w:val="20"/>
                <w:szCs w:val="20"/>
              </w:rPr>
            </w:pPr>
            <w:r w:rsidRPr="00461403">
              <w:rPr>
                <w:rFonts w:ascii="Arial" w:hAnsi="Arial" w:cs="Arial"/>
                <w:sz w:val="18"/>
                <w:szCs w:val="18"/>
              </w:rPr>
              <w:t>14.4%</w:t>
            </w:r>
          </w:p>
        </w:tc>
        <w:tc>
          <w:tcPr>
            <w:tcW w:w="0" w:type="auto"/>
            <w:tcBorders>
              <w:top w:val="single" w:sz="4" w:space="0" w:color="auto"/>
            </w:tcBorders>
          </w:tcPr>
          <w:p w14:paraId="5F34682E" w14:textId="7551AE55" w:rsidR="00F92F35" w:rsidRPr="00087B03" w:rsidRDefault="00F92F35" w:rsidP="00F92F35">
            <w:pPr>
              <w:jc w:val="center"/>
              <w:rPr>
                <w:rFonts w:ascii="Arial" w:hAnsi="Arial" w:cs="Arial"/>
                <w:sz w:val="20"/>
                <w:szCs w:val="20"/>
              </w:rPr>
            </w:pPr>
            <w:r w:rsidRPr="00461403">
              <w:rPr>
                <w:rFonts w:ascii="Arial" w:hAnsi="Arial" w:cs="Arial"/>
                <w:sz w:val="18"/>
                <w:szCs w:val="18"/>
              </w:rPr>
              <w:t>81.7</w:t>
            </w:r>
          </w:p>
        </w:tc>
      </w:tr>
      <w:tr w:rsidR="00F92F35" w14:paraId="4B3D2C84" w14:textId="77777777" w:rsidTr="00587396">
        <w:tc>
          <w:tcPr>
            <w:tcW w:w="0" w:type="auto"/>
          </w:tcPr>
          <w:p w14:paraId="27FAB30D" w14:textId="01B90242" w:rsidR="00F92F35" w:rsidRDefault="00F92F35" w:rsidP="00F92F35">
            <w:pPr>
              <w:keepNext/>
              <w:keepLines/>
              <w:rPr>
                <w:rFonts w:ascii="Arial" w:hAnsi="Arial" w:cs="Arial"/>
                <w:sz w:val="20"/>
                <w:szCs w:val="20"/>
              </w:rPr>
            </w:pPr>
            <w:r w:rsidRPr="00461403">
              <w:rPr>
                <w:rFonts w:ascii="Arial" w:hAnsi="Arial" w:cs="Arial"/>
                <w:sz w:val="18"/>
                <w:szCs w:val="18"/>
              </w:rPr>
              <w:t>9/8/2014</w:t>
            </w:r>
          </w:p>
        </w:tc>
        <w:tc>
          <w:tcPr>
            <w:tcW w:w="0" w:type="auto"/>
          </w:tcPr>
          <w:p w14:paraId="57B3B8F6" w14:textId="31986084" w:rsidR="00F92F35" w:rsidRPr="00087B03" w:rsidRDefault="00F92F35" w:rsidP="00F92F35">
            <w:pPr>
              <w:jc w:val="center"/>
              <w:rPr>
                <w:rFonts w:ascii="Arial" w:hAnsi="Arial" w:cs="Arial"/>
                <w:sz w:val="20"/>
                <w:szCs w:val="20"/>
              </w:rPr>
            </w:pPr>
            <w:r w:rsidRPr="00461403">
              <w:rPr>
                <w:rFonts w:ascii="Arial" w:hAnsi="Arial" w:cs="Arial"/>
                <w:sz w:val="18"/>
                <w:szCs w:val="18"/>
              </w:rPr>
              <w:t>239</w:t>
            </w:r>
          </w:p>
        </w:tc>
        <w:tc>
          <w:tcPr>
            <w:tcW w:w="0" w:type="auto"/>
          </w:tcPr>
          <w:p w14:paraId="24CB9AE6" w14:textId="3DBB66D2" w:rsidR="00F92F35" w:rsidRPr="00087B03" w:rsidRDefault="00F92F35" w:rsidP="00F92F35">
            <w:pPr>
              <w:jc w:val="center"/>
              <w:rPr>
                <w:rFonts w:ascii="Arial" w:hAnsi="Arial" w:cs="Arial"/>
                <w:sz w:val="20"/>
                <w:szCs w:val="20"/>
              </w:rPr>
            </w:pPr>
            <w:r w:rsidRPr="00461403">
              <w:rPr>
                <w:rFonts w:ascii="Arial" w:hAnsi="Arial" w:cs="Arial"/>
                <w:sz w:val="18"/>
                <w:szCs w:val="18"/>
              </w:rPr>
              <w:t>143</w:t>
            </w:r>
          </w:p>
        </w:tc>
        <w:tc>
          <w:tcPr>
            <w:tcW w:w="0" w:type="auto"/>
          </w:tcPr>
          <w:p w14:paraId="320221C1" w14:textId="59645FFA" w:rsidR="00F92F35" w:rsidRPr="00087B03" w:rsidRDefault="00F92F35" w:rsidP="00F92F35">
            <w:pPr>
              <w:jc w:val="center"/>
              <w:rPr>
                <w:rFonts w:ascii="Arial" w:hAnsi="Arial" w:cs="Arial"/>
                <w:sz w:val="20"/>
                <w:szCs w:val="20"/>
              </w:rPr>
            </w:pPr>
            <w:r w:rsidRPr="00461403">
              <w:rPr>
                <w:rFonts w:ascii="Arial" w:hAnsi="Arial" w:cs="Arial"/>
                <w:sz w:val="18"/>
                <w:szCs w:val="18"/>
              </w:rPr>
              <w:t>200.1</w:t>
            </w:r>
          </w:p>
        </w:tc>
        <w:tc>
          <w:tcPr>
            <w:tcW w:w="0" w:type="auto"/>
          </w:tcPr>
          <w:p w14:paraId="16D5A56F" w14:textId="7AC2E3EA" w:rsidR="00F92F35" w:rsidRPr="00087B03" w:rsidRDefault="00F92F35" w:rsidP="00F92F35">
            <w:pPr>
              <w:jc w:val="center"/>
              <w:rPr>
                <w:rFonts w:ascii="Arial" w:hAnsi="Arial" w:cs="Arial"/>
                <w:sz w:val="20"/>
                <w:szCs w:val="20"/>
              </w:rPr>
            </w:pPr>
            <w:r w:rsidRPr="00461403">
              <w:rPr>
                <w:rFonts w:ascii="Arial" w:hAnsi="Arial" w:cs="Arial"/>
                <w:sz w:val="18"/>
                <w:szCs w:val="18"/>
              </w:rPr>
              <w:t>183.4</w:t>
            </w:r>
          </w:p>
        </w:tc>
        <w:tc>
          <w:tcPr>
            <w:tcW w:w="0" w:type="auto"/>
          </w:tcPr>
          <w:p w14:paraId="1D384F45" w14:textId="21AE9001" w:rsidR="00F92F35" w:rsidRPr="00087B03" w:rsidRDefault="00F92F35" w:rsidP="00F92F35">
            <w:pPr>
              <w:jc w:val="center"/>
              <w:rPr>
                <w:rFonts w:ascii="Arial" w:hAnsi="Arial" w:cs="Arial"/>
                <w:sz w:val="20"/>
                <w:szCs w:val="20"/>
              </w:rPr>
            </w:pPr>
            <w:r w:rsidRPr="00461403">
              <w:rPr>
                <w:rFonts w:ascii="Arial" w:hAnsi="Arial" w:cs="Arial"/>
                <w:sz w:val="18"/>
                <w:szCs w:val="18"/>
              </w:rPr>
              <w:t>16.8</w:t>
            </w:r>
          </w:p>
        </w:tc>
        <w:tc>
          <w:tcPr>
            <w:tcW w:w="0" w:type="auto"/>
          </w:tcPr>
          <w:p w14:paraId="1445C989" w14:textId="40D743EA" w:rsidR="00F92F35" w:rsidRPr="00087B03" w:rsidRDefault="00F92F35" w:rsidP="00F92F35">
            <w:pPr>
              <w:jc w:val="center"/>
              <w:rPr>
                <w:rFonts w:ascii="Arial" w:hAnsi="Arial" w:cs="Arial"/>
                <w:sz w:val="20"/>
                <w:szCs w:val="20"/>
              </w:rPr>
            </w:pPr>
            <w:r w:rsidRPr="00461403">
              <w:rPr>
                <w:rFonts w:ascii="Arial" w:hAnsi="Arial" w:cs="Arial"/>
                <w:sz w:val="18"/>
                <w:szCs w:val="18"/>
              </w:rPr>
              <w:t>8.4%</w:t>
            </w:r>
          </w:p>
        </w:tc>
        <w:tc>
          <w:tcPr>
            <w:tcW w:w="0" w:type="auto"/>
          </w:tcPr>
          <w:p w14:paraId="54513A7A" w14:textId="1D5541C6" w:rsidR="00F92F35" w:rsidRPr="00087B03" w:rsidRDefault="00F92F35" w:rsidP="00F92F35">
            <w:pPr>
              <w:jc w:val="center"/>
              <w:rPr>
                <w:rFonts w:ascii="Arial" w:hAnsi="Arial" w:cs="Arial"/>
                <w:sz w:val="20"/>
                <w:szCs w:val="20"/>
              </w:rPr>
            </w:pPr>
            <w:r w:rsidRPr="00461403">
              <w:rPr>
                <w:rFonts w:ascii="Arial" w:hAnsi="Arial" w:cs="Arial"/>
                <w:sz w:val="18"/>
                <w:szCs w:val="18"/>
              </w:rPr>
              <w:t>82.4</w:t>
            </w:r>
          </w:p>
        </w:tc>
      </w:tr>
      <w:tr w:rsidR="00F92F35" w14:paraId="4A41BFBB" w14:textId="77777777" w:rsidTr="00587396">
        <w:tc>
          <w:tcPr>
            <w:tcW w:w="0" w:type="auto"/>
          </w:tcPr>
          <w:p w14:paraId="0CCF99D2" w14:textId="3F030B5D" w:rsidR="00F92F35" w:rsidRDefault="00F92F35" w:rsidP="00F92F35">
            <w:pPr>
              <w:keepNext/>
              <w:keepLines/>
              <w:rPr>
                <w:rFonts w:ascii="Arial" w:hAnsi="Arial" w:cs="Arial"/>
                <w:sz w:val="20"/>
                <w:szCs w:val="20"/>
              </w:rPr>
            </w:pPr>
            <w:r w:rsidRPr="00461403">
              <w:rPr>
                <w:rFonts w:ascii="Arial" w:hAnsi="Arial" w:cs="Arial"/>
                <w:sz w:val="18"/>
                <w:szCs w:val="18"/>
              </w:rPr>
              <w:t>9/10/2014</w:t>
            </w:r>
          </w:p>
        </w:tc>
        <w:tc>
          <w:tcPr>
            <w:tcW w:w="0" w:type="auto"/>
          </w:tcPr>
          <w:p w14:paraId="134CBBE6" w14:textId="72D7BCA2" w:rsidR="00F92F35" w:rsidRPr="00087B03" w:rsidRDefault="00F92F35" w:rsidP="00F92F35">
            <w:pPr>
              <w:jc w:val="center"/>
              <w:rPr>
                <w:rFonts w:ascii="Arial" w:hAnsi="Arial" w:cs="Arial"/>
                <w:sz w:val="20"/>
                <w:szCs w:val="20"/>
              </w:rPr>
            </w:pPr>
            <w:r w:rsidRPr="00461403">
              <w:rPr>
                <w:rFonts w:ascii="Arial" w:hAnsi="Arial" w:cs="Arial"/>
                <w:sz w:val="18"/>
                <w:szCs w:val="18"/>
              </w:rPr>
              <w:t>239</w:t>
            </w:r>
          </w:p>
        </w:tc>
        <w:tc>
          <w:tcPr>
            <w:tcW w:w="0" w:type="auto"/>
          </w:tcPr>
          <w:p w14:paraId="01D11949" w14:textId="596C887D" w:rsidR="00F92F35" w:rsidRPr="00087B03" w:rsidRDefault="00F92F35" w:rsidP="00F92F35">
            <w:pPr>
              <w:jc w:val="center"/>
              <w:rPr>
                <w:rFonts w:ascii="Arial" w:hAnsi="Arial" w:cs="Arial"/>
                <w:sz w:val="20"/>
                <w:szCs w:val="20"/>
              </w:rPr>
            </w:pPr>
            <w:r w:rsidRPr="00461403">
              <w:rPr>
                <w:rFonts w:ascii="Arial" w:hAnsi="Arial" w:cs="Arial"/>
                <w:sz w:val="18"/>
                <w:szCs w:val="18"/>
              </w:rPr>
              <w:t>141</w:t>
            </w:r>
          </w:p>
        </w:tc>
        <w:tc>
          <w:tcPr>
            <w:tcW w:w="0" w:type="auto"/>
          </w:tcPr>
          <w:p w14:paraId="4DC3B7DF" w14:textId="33BD0425" w:rsidR="00F92F35" w:rsidRPr="00087B03" w:rsidRDefault="00F92F35" w:rsidP="00F92F35">
            <w:pPr>
              <w:jc w:val="center"/>
              <w:rPr>
                <w:rFonts w:ascii="Arial" w:hAnsi="Arial" w:cs="Arial"/>
                <w:sz w:val="20"/>
                <w:szCs w:val="20"/>
              </w:rPr>
            </w:pPr>
            <w:r w:rsidRPr="00461403">
              <w:rPr>
                <w:rFonts w:ascii="Arial" w:hAnsi="Arial" w:cs="Arial"/>
                <w:sz w:val="18"/>
                <w:szCs w:val="18"/>
              </w:rPr>
              <w:t>205.5</w:t>
            </w:r>
          </w:p>
        </w:tc>
        <w:tc>
          <w:tcPr>
            <w:tcW w:w="0" w:type="auto"/>
          </w:tcPr>
          <w:p w14:paraId="6871C240" w14:textId="7554C605" w:rsidR="00F92F35" w:rsidRPr="00087B03" w:rsidRDefault="00F92F35" w:rsidP="00F92F35">
            <w:pPr>
              <w:jc w:val="center"/>
              <w:rPr>
                <w:rFonts w:ascii="Arial" w:hAnsi="Arial" w:cs="Arial"/>
                <w:sz w:val="20"/>
                <w:szCs w:val="20"/>
              </w:rPr>
            </w:pPr>
            <w:r w:rsidRPr="00461403">
              <w:rPr>
                <w:rFonts w:ascii="Arial" w:hAnsi="Arial" w:cs="Arial"/>
                <w:sz w:val="18"/>
                <w:szCs w:val="18"/>
              </w:rPr>
              <w:t>190.1</w:t>
            </w:r>
          </w:p>
        </w:tc>
        <w:tc>
          <w:tcPr>
            <w:tcW w:w="0" w:type="auto"/>
          </w:tcPr>
          <w:p w14:paraId="6F35F2BB" w14:textId="503DB210" w:rsidR="00F92F35" w:rsidRPr="00087B03" w:rsidRDefault="00F92F35" w:rsidP="00F92F35">
            <w:pPr>
              <w:jc w:val="center"/>
              <w:rPr>
                <w:rFonts w:ascii="Arial" w:hAnsi="Arial" w:cs="Arial"/>
                <w:sz w:val="20"/>
                <w:szCs w:val="20"/>
              </w:rPr>
            </w:pPr>
            <w:r w:rsidRPr="00461403">
              <w:rPr>
                <w:rFonts w:ascii="Arial" w:hAnsi="Arial" w:cs="Arial"/>
                <w:sz w:val="18"/>
                <w:szCs w:val="18"/>
              </w:rPr>
              <w:t>15.4</w:t>
            </w:r>
          </w:p>
        </w:tc>
        <w:tc>
          <w:tcPr>
            <w:tcW w:w="0" w:type="auto"/>
          </w:tcPr>
          <w:p w14:paraId="03ADD5D7" w14:textId="69E50094" w:rsidR="00F92F35" w:rsidRPr="00087B03" w:rsidRDefault="00F92F35" w:rsidP="00F92F35">
            <w:pPr>
              <w:jc w:val="center"/>
              <w:rPr>
                <w:rFonts w:ascii="Arial" w:hAnsi="Arial" w:cs="Arial"/>
                <w:sz w:val="20"/>
                <w:szCs w:val="20"/>
              </w:rPr>
            </w:pPr>
            <w:r w:rsidRPr="00461403">
              <w:rPr>
                <w:rFonts w:ascii="Arial" w:hAnsi="Arial" w:cs="Arial"/>
                <w:sz w:val="18"/>
                <w:szCs w:val="18"/>
              </w:rPr>
              <w:t>7.5%</w:t>
            </w:r>
          </w:p>
        </w:tc>
        <w:tc>
          <w:tcPr>
            <w:tcW w:w="0" w:type="auto"/>
          </w:tcPr>
          <w:p w14:paraId="3EF14DC8" w14:textId="115415C5" w:rsidR="00F92F35" w:rsidRPr="00087B03" w:rsidRDefault="00F92F35" w:rsidP="00F92F35">
            <w:pPr>
              <w:jc w:val="center"/>
              <w:rPr>
                <w:rFonts w:ascii="Arial" w:hAnsi="Arial" w:cs="Arial"/>
                <w:sz w:val="20"/>
                <w:szCs w:val="20"/>
              </w:rPr>
            </w:pPr>
            <w:r w:rsidRPr="00461403">
              <w:rPr>
                <w:rFonts w:ascii="Arial" w:hAnsi="Arial" w:cs="Arial"/>
                <w:sz w:val="18"/>
                <w:szCs w:val="18"/>
              </w:rPr>
              <w:t>81.0</w:t>
            </w:r>
          </w:p>
        </w:tc>
      </w:tr>
      <w:tr w:rsidR="00F92F35" w14:paraId="78D9F4B2" w14:textId="77777777" w:rsidTr="00587396">
        <w:tc>
          <w:tcPr>
            <w:tcW w:w="0" w:type="auto"/>
          </w:tcPr>
          <w:p w14:paraId="7EB53B5D" w14:textId="180D21E9" w:rsidR="00F92F35" w:rsidRDefault="00F92F35" w:rsidP="00F92F35">
            <w:pPr>
              <w:keepNext/>
              <w:keepLines/>
              <w:rPr>
                <w:rFonts w:ascii="Arial" w:hAnsi="Arial" w:cs="Arial"/>
                <w:sz w:val="20"/>
                <w:szCs w:val="20"/>
              </w:rPr>
            </w:pPr>
            <w:r w:rsidRPr="00461403">
              <w:rPr>
                <w:rFonts w:ascii="Arial" w:hAnsi="Arial" w:cs="Arial"/>
                <w:sz w:val="18"/>
                <w:szCs w:val="18"/>
              </w:rPr>
              <w:t>9/15/2014</w:t>
            </w:r>
          </w:p>
        </w:tc>
        <w:tc>
          <w:tcPr>
            <w:tcW w:w="0" w:type="auto"/>
          </w:tcPr>
          <w:p w14:paraId="09B35CD1" w14:textId="4ADAAFF3" w:rsidR="00F92F35" w:rsidRPr="00087B03" w:rsidRDefault="00F92F35" w:rsidP="00F92F35">
            <w:pPr>
              <w:jc w:val="center"/>
              <w:rPr>
                <w:rFonts w:ascii="Arial" w:hAnsi="Arial" w:cs="Arial"/>
                <w:sz w:val="20"/>
                <w:szCs w:val="20"/>
              </w:rPr>
            </w:pPr>
            <w:r w:rsidRPr="00461403">
              <w:rPr>
                <w:rFonts w:ascii="Arial" w:hAnsi="Arial" w:cs="Arial"/>
                <w:sz w:val="18"/>
                <w:szCs w:val="18"/>
              </w:rPr>
              <w:t>239</w:t>
            </w:r>
          </w:p>
        </w:tc>
        <w:tc>
          <w:tcPr>
            <w:tcW w:w="0" w:type="auto"/>
          </w:tcPr>
          <w:p w14:paraId="40FC857C" w14:textId="429CE1FB" w:rsidR="00F92F35" w:rsidRPr="00087B03" w:rsidRDefault="00F92F35" w:rsidP="00F92F35">
            <w:pPr>
              <w:jc w:val="center"/>
              <w:rPr>
                <w:rFonts w:ascii="Arial" w:hAnsi="Arial" w:cs="Arial"/>
                <w:sz w:val="20"/>
                <w:szCs w:val="20"/>
              </w:rPr>
            </w:pPr>
            <w:r w:rsidRPr="00461403">
              <w:rPr>
                <w:rFonts w:ascii="Arial" w:hAnsi="Arial" w:cs="Arial"/>
                <w:sz w:val="18"/>
                <w:szCs w:val="18"/>
              </w:rPr>
              <w:t>143</w:t>
            </w:r>
          </w:p>
        </w:tc>
        <w:tc>
          <w:tcPr>
            <w:tcW w:w="0" w:type="auto"/>
          </w:tcPr>
          <w:p w14:paraId="3299AB6E" w14:textId="179638D2" w:rsidR="00F92F35" w:rsidRPr="00087B03" w:rsidRDefault="00F92F35" w:rsidP="00F92F35">
            <w:pPr>
              <w:jc w:val="center"/>
              <w:rPr>
                <w:rFonts w:ascii="Arial" w:hAnsi="Arial" w:cs="Arial"/>
                <w:sz w:val="20"/>
                <w:szCs w:val="20"/>
              </w:rPr>
            </w:pPr>
            <w:r w:rsidRPr="00461403">
              <w:rPr>
                <w:rFonts w:ascii="Arial" w:hAnsi="Arial" w:cs="Arial"/>
                <w:sz w:val="18"/>
                <w:szCs w:val="18"/>
              </w:rPr>
              <w:t>218.2</w:t>
            </w:r>
          </w:p>
        </w:tc>
        <w:tc>
          <w:tcPr>
            <w:tcW w:w="0" w:type="auto"/>
          </w:tcPr>
          <w:p w14:paraId="4C527C71" w14:textId="790E9392" w:rsidR="00F92F35" w:rsidRPr="00087B03" w:rsidRDefault="00F92F35" w:rsidP="00F92F35">
            <w:pPr>
              <w:jc w:val="center"/>
              <w:rPr>
                <w:rFonts w:ascii="Arial" w:hAnsi="Arial" w:cs="Arial"/>
                <w:sz w:val="20"/>
                <w:szCs w:val="20"/>
              </w:rPr>
            </w:pPr>
            <w:r w:rsidRPr="00461403">
              <w:rPr>
                <w:rFonts w:ascii="Arial" w:hAnsi="Arial" w:cs="Arial"/>
                <w:sz w:val="18"/>
                <w:szCs w:val="18"/>
              </w:rPr>
              <w:t>195.0</w:t>
            </w:r>
          </w:p>
        </w:tc>
        <w:tc>
          <w:tcPr>
            <w:tcW w:w="0" w:type="auto"/>
          </w:tcPr>
          <w:p w14:paraId="137CE0F5" w14:textId="3F404C96" w:rsidR="00F92F35" w:rsidRPr="00087B03" w:rsidRDefault="00F92F35" w:rsidP="00F92F35">
            <w:pPr>
              <w:jc w:val="center"/>
              <w:rPr>
                <w:rFonts w:ascii="Arial" w:hAnsi="Arial" w:cs="Arial"/>
                <w:sz w:val="20"/>
                <w:szCs w:val="20"/>
              </w:rPr>
            </w:pPr>
            <w:r w:rsidRPr="00461403">
              <w:rPr>
                <w:rFonts w:ascii="Arial" w:hAnsi="Arial" w:cs="Arial"/>
                <w:sz w:val="18"/>
                <w:szCs w:val="18"/>
              </w:rPr>
              <w:t>23.2</w:t>
            </w:r>
          </w:p>
        </w:tc>
        <w:tc>
          <w:tcPr>
            <w:tcW w:w="0" w:type="auto"/>
          </w:tcPr>
          <w:p w14:paraId="38CECBAE" w14:textId="20C6FCC6" w:rsidR="00F92F35" w:rsidRPr="00087B03" w:rsidRDefault="00F92F35" w:rsidP="00F92F35">
            <w:pPr>
              <w:jc w:val="center"/>
              <w:rPr>
                <w:rFonts w:ascii="Arial" w:hAnsi="Arial" w:cs="Arial"/>
                <w:sz w:val="20"/>
                <w:szCs w:val="20"/>
              </w:rPr>
            </w:pPr>
            <w:r w:rsidRPr="00461403">
              <w:rPr>
                <w:rFonts w:ascii="Arial" w:hAnsi="Arial" w:cs="Arial"/>
                <w:sz w:val="18"/>
                <w:szCs w:val="18"/>
              </w:rPr>
              <w:t>10.6%</w:t>
            </w:r>
          </w:p>
        </w:tc>
        <w:tc>
          <w:tcPr>
            <w:tcW w:w="0" w:type="auto"/>
          </w:tcPr>
          <w:p w14:paraId="7068A049" w14:textId="0CDBE916" w:rsidR="00F92F35" w:rsidRPr="00087B03" w:rsidRDefault="00F92F35" w:rsidP="00F92F35">
            <w:pPr>
              <w:jc w:val="center"/>
              <w:rPr>
                <w:rFonts w:ascii="Arial" w:hAnsi="Arial" w:cs="Arial"/>
                <w:sz w:val="20"/>
                <w:szCs w:val="20"/>
              </w:rPr>
            </w:pPr>
            <w:r w:rsidRPr="00461403">
              <w:rPr>
                <w:rFonts w:ascii="Arial" w:hAnsi="Arial" w:cs="Arial"/>
                <w:sz w:val="18"/>
                <w:szCs w:val="18"/>
              </w:rPr>
              <w:t>83.0</w:t>
            </w:r>
          </w:p>
        </w:tc>
      </w:tr>
      <w:tr w:rsidR="00F92F35" w14:paraId="1BA90470" w14:textId="77777777" w:rsidTr="00587396">
        <w:tc>
          <w:tcPr>
            <w:tcW w:w="0" w:type="auto"/>
          </w:tcPr>
          <w:p w14:paraId="683063BD" w14:textId="1B5D56EC" w:rsidR="00F92F35" w:rsidRPr="007E0A27" w:rsidRDefault="00F92F35" w:rsidP="00F92F35">
            <w:pPr>
              <w:keepNext/>
              <w:keepLines/>
              <w:rPr>
                <w:rFonts w:ascii="Arial" w:hAnsi="Arial" w:cs="Arial"/>
                <w:sz w:val="20"/>
                <w:szCs w:val="20"/>
              </w:rPr>
            </w:pPr>
            <w:r w:rsidRPr="00461403">
              <w:rPr>
                <w:rFonts w:ascii="Arial" w:hAnsi="Arial" w:cs="Arial"/>
                <w:sz w:val="18"/>
                <w:szCs w:val="18"/>
              </w:rPr>
              <w:t>9/17/2014</w:t>
            </w:r>
          </w:p>
        </w:tc>
        <w:tc>
          <w:tcPr>
            <w:tcW w:w="0" w:type="auto"/>
          </w:tcPr>
          <w:p w14:paraId="236F30FD" w14:textId="66DC5E7E" w:rsidR="00F92F35" w:rsidRPr="00087B03" w:rsidRDefault="00F92F35" w:rsidP="00F92F35">
            <w:pPr>
              <w:jc w:val="center"/>
              <w:rPr>
                <w:rFonts w:ascii="Arial" w:hAnsi="Arial" w:cs="Arial"/>
                <w:sz w:val="20"/>
                <w:szCs w:val="20"/>
              </w:rPr>
            </w:pPr>
            <w:r w:rsidRPr="00461403">
              <w:rPr>
                <w:rFonts w:ascii="Arial" w:hAnsi="Arial" w:cs="Arial"/>
                <w:sz w:val="18"/>
                <w:szCs w:val="18"/>
              </w:rPr>
              <w:t>239</w:t>
            </w:r>
          </w:p>
        </w:tc>
        <w:tc>
          <w:tcPr>
            <w:tcW w:w="0" w:type="auto"/>
          </w:tcPr>
          <w:p w14:paraId="7BB71FE4" w14:textId="2F2201E8" w:rsidR="00F92F35" w:rsidRPr="00087B03" w:rsidRDefault="00F92F35" w:rsidP="00F92F35">
            <w:pPr>
              <w:jc w:val="center"/>
              <w:rPr>
                <w:rFonts w:ascii="Arial" w:hAnsi="Arial" w:cs="Arial"/>
                <w:sz w:val="20"/>
                <w:szCs w:val="20"/>
              </w:rPr>
            </w:pPr>
            <w:r w:rsidRPr="00461403">
              <w:rPr>
                <w:rFonts w:ascii="Arial" w:hAnsi="Arial" w:cs="Arial"/>
                <w:sz w:val="18"/>
                <w:szCs w:val="18"/>
              </w:rPr>
              <w:t>144</w:t>
            </w:r>
          </w:p>
        </w:tc>
        <w:tc>
          <w:tcPr>
            <w:tcW w:w="0" w:type="auto"/>
          </w:tcPr>
          <w:p w14:paraId="3B4F60B2" w14:textId="46AFFDF8" w:rsidR="00F92F35" w:rsidRPr="00087B03" w:rsidRDefault="00F92F35" w:rsidP="00F92F35">
            <w:pPr>
              <w:jc w:val="center"/>
              <w:rPr>
                <w:rFonts w:ascii="Arial" w:hAnsi="Arial" w:cs="Arial"/>
                <w:sz w:val="20"/>
                <w:szCs w:val="20"/>
              </w:rPr>
            </w:pPr>
            <w:r w:rsidRPr="00461403">
              <w:rPr>
                <w:rFonts w:ascii="Arial" w:hAnsi="Arial" w:cs="Arial"/>
                <w:sz w:val="18"/>
                <w:szCs w:val="18"/>
              </w:rPr>
              <w:t>212.0</w:t>
            </w:r>
          </w:p>
        </w:tc>
        <w:tc>
          <w:tcPr>
            <w:tcW w:w="0" w:type="auto"/>
          </w:tcPr>
          <w:p w14:paraId="6F3D51AC" w14:textId="68AEE104" w:rsidR="00F92F35" w:rsidRPr="00087B03" w:rsidRDefault="00F92F35" w:rsidP="00F92F35">
            <w:pPr>
              <w:jc w:val="center"/>
              <w:rPr>
                <w:rFonts w:ascii="Arial" w:hAnsi="Arial" w:cs="Arial"/>
                <w:sz w:val="20"/>
                <w:szCs w:val="20"/>
              </w:rPr>
            </w:pPr>
            <w:r w:rsidRPr="00461403">
              <w:rPr>
                <w:rFonts w:ascii="Arial" w:hAnsi="Arial" w:cs="Arial"/>
                <w:sz w:val="18"/>
                <w:szCs w:val="18"/>
              </w:rPr>
              <w:t>188.3</w:t>
            </w:r>
          </w:p>
        </w:tc>
        <w:tc>
          <w:tcPr>
            <w:tcW w:w="0" w:type="auto"/>
          </w:tcPr>
          <w:p w14:paraId="1E73187D" w14:textId="17FB5310" w:rsidR="00F92F35" w:rsidRPr="00087B03" w:rsidRDefault="00F92F35" w:rsidP="00F92F35">
            <w:pPr>
              <w:jc w:val="center"/>
              <w:rPr>
                <w:rFonts w:ascii="Arial" w:hAnsi="Arial" w:cs="Arial"/>
                <w:sz w:val="20"/>
                <w:szCs w:val="20"/>
              </w:rPr>
            </w:pPr>
            <w:r w:rsidRPr="00461403">
              <w:rPr>
                <w:rFonts w:ascii="Arial" w:hAnsi="Arial" w:cs="Arial"/>
                <w:sz w:val="18"/>
                <w:szCs w:val="18"/>
              </w:rPr>
              <w:t>23.7</w:t>
            </w:r>
          </w:p>
        </w:tc>
        <w:tc>
          <w:tcPr>
            <w:tcW w:w="0" w:type="auto"/>
          </w:tcPr>
          <w:p w14:paraId="407F478E" w14:textId="1FAE42EA" w:rsidR="00F92F35" w:rsidRPr="00087B03" w:rsidRDefault="00F92F35" w:rsidP="00F92F35">
            <w:pPr>
              <w:jc w:val="center"/>
              <w:rPr>
                <w:rFonts w:ascii="Arial" w:hAnsi="Arial" w:cs="Arial"/>
                <w:sz w:val="20"/>
                <w:szCs w:val="20"/>
              </w:rPr>
            </w:pPr>
            <w:r w:rsidRPr="00461403">
              <w:rPr>
                <w:rFonts w:ascii="Arial" w:hAnsi="Arial" w:cs="Arial"/>
                <w:sz w:val="18"/>
                <w:szCs w:val="18"/>
              </w:rPr>
              <w:t>11.2%</w:t>
            </w:r>
          </w:p>
        </w:tc>
        <w:tc>
          <w:tcPr>
            <w:tcW w:w="0" w:type="auto"/>
          </w:tcPr>
          <w:p w14:paraId="6DE8EBC0" w14:textId="7B49C406" w:rsidR="00F92F35" w:rsidRPr="00087B03" w:rsidRDefault="00F92F35" w:rsidP="00F92F35">
            <w:pPr>
              <w:jc w:val="center"/>
              <w:rPr>
                <w:rFonts w:ascii="Arial" w:hAnsi="Arial" w:cs="Arial"/>
                <w:sz w:val="20"/>
                <w:szCs w:val="20"/>
              </w:rPr>
            </w:pPr>
            <w:r w:rsidRPr="00461403">
              <w:rPr>
                <w:rFonts w:ascii="Arial" w:hAnsi="Arial" w:cs="Arial"/>
                <w:sz w:val="18"/>
                <w:szCs w:val="18"/>
              </w:rPr>
              <w:t>83.5</w:t>
            </w:r>
          </w:p>
        </w:tc>
      </w:tr>
      <w:tr w:rsidR="00F92F35" w14:paraId="3D870A78" w14:textId="77777777" w:rsidTr="00587396">
        <w:tc>
          <w:tcPr>
            <w:tcW w:w="0" w:type="auto"/>
          </w:tcPr>
          <w:p w14:paraId="3E1BEE84" w14:textId="7F3B4424" w:rsidR="00F92F35" w:rsidRPr="007E0A27" w:rsidRDefault="00F92F35" w:rsidP="00F92F35">
            <w:pPr>
              <w:keepNext/>
              <w:keepLines/>
              <w:rPr>
                <w:rFonts w:ascii="Arial" w:hAnsi="Arial" w:cs="Arial"/>
                <w:sz w:val="20"/>
                <w:szCs w:val="20"/>
              </w:rPr>
            </w:pPr>
            <w:r w:rsidRPr="00461403">
              <w:rPr>
                <w:rFonts w:ascii="Arial" w:hAnsi="Arial" w:cs="Arial"/>
                <w:sz w:val="18"/>
                <w:szCs w:val="18"/>
              </w:rPr>
              <w:t>10/2/2014</w:t>
            </w:r>
          </w:p>
        </w:tc>
        <w:tc>
          <w:tcPr>
            <w:tcW w:w="0" w:type="auto"/>
          </w:tcPr>
          <w:p w14:paraId="509A0FC6" w14:textId="1FB20307" w:rsidR="00F92F35" w:rsidRPr="00087B03" w:rsidRDefault="00F92F35" w:rsidP="00F92F35">
            <w:pPr>
              <w:jc w:val="center"/>
              <w:rPr>
                <w:rFonts w:ascii="Arial" w:hAnsi="Arial" w:cs="Arial"/>
                <w:sz w:val="20"/>
                <w:szCs w:val="20"/>
              </w:rPr>
            </w:pPr>
            <w:r w:rsidRPr="00461403">
              <w:rPr>
                <w:rFonts w:ascii="Arial" w:hAnsi="Arial" w:cs="Arial"/>
                <w:sz w:val="18"/>
                <w:szCs w:val="18"/>
              </w:rPr>
              <w:t>239</w:t>
            </w:r>
          </w:p>
        </w:tc>
        <w:tc>
          <w:tcPr>
            <w:tcW w:w="0" w:type="auto"/>
          </w:tcPr>
          <w:p w14:paraId="415C0642" w14:textId="0B2AF764" w:rsidR="00F92F35" w:rsidRPr="00087B03" w:rsidRDefault="00F92F35" w:rsidP="00F92F35">
            <w:pPr>
              <w:jc w:val="center"/>
              <w:rPr>
                <w:rFonts w:ascii="Arial" w:hAnsi="Arial" w:cs="Arial"/>
                <w:sz w:val="20"/>
                <w:szCs w:val="20"/>
              </w:rPr>
            </w:pPr>
            <w:r w:rsidRPr="00461403">
              <w:rPr>
                <w:rFonts w:ascii="Arial" w:hAnsi="Arial" w:cs="Arial"/>
                <w:sz w:val="18"/>
                <w:szCs w:val="18"/>
              </w:rPr>
              <w:t>145</w:t>
            </w:r>
          </w:p>
        </w:tc>
        <w:tc>
          <w:tcPr>
            <w:tcW w:w="0" w:type="auto"/>
          </w:tcPr>
          <w:p w14:paraId="0268D7F7" w14:textId="0A6174A0" w:rsidR="00F92F35" w:rsidRPr="00087B03" w:rsidRDefault="00F92F35" w:rsidP="00F92F35">
            <w:pPr>
              <w:jc w:val="center"/>
              <w:rPr>
                <w:rFonts w:ascii="Arial" w:hAnsi="Arial" w:cs="Arial"/>
                <w:sz w:val="20"/>
                <w:szCs w:val="20"/>
              </w:rPr>
            </w:pPr>
            <w:r w:rsidRPr="00461403">
              <w:rPr>
                <w:rFonts w:ascii="Arial" w:hAnsi="Arial" w:cs="Arial"/>
                <w:sz w:val="18"/>
                <w:szCs w:val="18"/>
              </w:rPr>
              <w:t>211.0</w:t>
            </w:r>
          </w:p>
        </w:tc>
        <w:tc>
          <w:tcPr>
            <w:tcW w:w="0" w:type="auto"/>
          </w:tcPr>
          <w:p w14:paraId="0B31C4DF" w14:textId="57C3C191" w:rsidR="00F92F35" w:rsidRPr="00087B03" w:rsidRDefault="00F92F35" w:rsidP="00F92F35">
            <w:pPr>
              <w:jc w:val="center"/>
              <w:rPr>
                <w:rFonts w:ascii="Arial" w:hAnsi="Arial" w:cs="Arial"/>
                <w:sz w:val="20"/>
                <w:szCs w:val="20"/>
              </w:rPr>
            </w:pPr>
            <w:r w:rsidRPr="00461403">
              <w:rPr>
                <w:rFonts w:ascii="Arial" w:hAnsi="Arial" w:cs="Arial"/>
                <w:sz w:val="18"/>
                <w:szCs w:val="18"/>
              </w:rPr>
              <w:t>183.1</w:t>
            </w:r>
          </w:p>
        </w:tc>
        <w:tc>
          <w:tcPr>
            <w:tcW w:w="0" w:type="auto"/>
          </w:tcPr>
          <w:p w14:paraId="0F5A63F4" w14:textId="0BE5AE4C" w:rsidR="00F92F35" w:rsidRPr="00087B03" w:rsidRDefault="00F92F35" w:rsidP="00F92F35">
            <w:pPr>
              <w:jc w:val="center"/>
              <w:rPr>
                <w:rFonts w:ascii="Arial" w:hAnsi="Arial" w:cs="Arial"/>
                <w:sz w:val="20"/>
                <w:szCs w:val="20"/>
              </w:rPr>
            </w:pPr>
            <w:r w:rsidRPr="00461403">
              <w:rPr>
                <w:rFonts w:ascii="Arial" w:hAnsi="Arial" w:cs="Arial"/>
                <w:sz w:val="18"/>
                <w:szCs w:val="18"/>
              </w:rPr>
              <w:t>27.9</w:t>
            </w:r>
          </w:p>
        </w:tc>
        <w:tc>
          <w:tcPr>
            <w:tcW w:w="0" w:type="auto"/>
          </w:tcPr>
          <w:p w14:paraId="19B92FF2" w14:textId="055C4C31" w:rsidR="00F92F35" w:rsidRPr="00087B03" w:rsidRDefault="00F92F35" w:rsidP="00F92F35">
            <w:pPr>
              <w:jc w:val="center"/>
              <w:rPr>
                <w:rFonts w:ascii="Arial" w:hAnsi="Arial" w:cs="Arial"/>
                <w:sz w:val="20"/>
                <w:szCs w:val="20"/>
              </w:rPr>
            </w:pPr>
            <w:r w:rsidRPr="00461403">
              <w:rPr>
                <w:rFonts w:ascii="Arial" w:hAnsi="Arial" w:cs="Arial"/>
                <w:sz w:val="18"/>
                <w:szCs w:val="18"/>
              </w:rPr>
              <w:t>13.2%</w:t>
            </w:r>
          </w:p>
        </w:tc>
        <w:tc>
          <w:tcPr>
            <w:tcW w:w="0" w:type="auto"/>
          </w:tcPr>
          <w:p w14:paraId="707116DD" w14:textId="40E39837" w:rsidR="00F92F35" w:rsidRPr="00087B03" w:rsidRDefault="00F92F35" w:rsidP="00F92F35">
            <w:pPr>
              <w:jc w:val="center"/>
              <w:rPr>
                <w:rFonts w:ascii="Arial" w:hAnsi="Arial" w:cs="Arial"/>
                <w:sz w:val="20"/>
                <w:szCs w:val="20"/>
              </w:rPr>
            </w:pPr>
            <w:r w:rsidRPr="00461403">
              <w:rPr>
                <w:rFonts w:ascii="Arial" w:hAnsi="Arial" w:cs="Arial"/>
                <w:sz w:val="18"/>
                <w:szCs w:val="18"/>
              </w:rPr>
              <w:t>83.9</w:t>
            </w:r>
          </w:p>
        </w:tc>
      </w:tr>
      <w:tr w:rsidR="00F92F35" w14:paraId="689E784F" w14:textId="77777777" w:rsidTr="00587396">
        <w:tc>
          <w:tcPr>
            <w:tcW w:w="0" w:type="auto"/>
          </w:tcPr>
          <w:p w14:paraId="00A9684D" w14:textId="76C22A98" w:rsidR="00F92F35" w:rsidRPr="007E0A27" w:rsidRDefault="00F92F35" w:rsidP="00F92F35">
            <w:pPr>
              <w:keepNext/>
              <w:keepLines/>
              <w:rPr>
                <w:rFonts w:ascii="Arial" w:hAnsi="Arial" w:cs="Arial"/>
                <w:sz w:val="20"/>
                <w:szCs w:val="20"/>
              </w:rPr>
            </w:pPr>
            <w:r w:rsidRPr="00461403">
              <w:rPr>
                <w:rFonts w:ascii="Arial" w:hAnsi="Arial" w:cs="Arial"/>
                <w:sz w:val="18"/>
                <w:szCs w:val="18"/>
              </w:rPr>
              <w:t>10/6/2014</w:t>
            </w:r>
          </w:p>
        </w:tc>
        <w:tc>
          <w:tcPr>
            <w:tcW w:w="0" w:type="auto"/>
          </w:tcPr>
          <w:p w14:paraId="7E13091E" w14:textId="11E8FF3C" w:rsidR="00F92F35" w:rsidRPr="00087B03" w:rsidRDefault="00F92F35" w:rsidP="00F92F35">
            <w:pPr>
              <w:jc w:val="center"/>
              <w:rPr>
                <w:rFonts w:ascii="Arial" w:hAnsi="Arial" w:cs="Arial"/>
                <w:sz w:val="20"/>
                <w:szCs w:val="20"/>
              </w:rPr>
            </w:pPr>
            <w:r w:rsidRPr="00461403">
              <w:rPr>
                <w:rFonts w:ascii="Arial" w:hAnsi="Arial" w:cs="Arial"/>
                <w:sz w:val="18"/>
                <w:szCs w:val="18"/>
              </w:rPr>
              <w:t>239</w:t>
            </w:r>
          </w:p>
        </w:tc>
        <w:tc>
          <w:tcPr>
            <w:tcW w:w="0" w:type="auto"/>
          </w:tcPr>
          <w:p w14:paraId="3B51B81D" w14:textId="32945792" w:rsidR="00F92F35" w:rsidRPr="00087B03" w:rsidRDefault="00F92F35" w:rsidP="00F92F35">
            <w:pPr>
              <w:jc w:val="center"/>
              <w:rPr>
                <w:rFonts w:ascii="Arial" w:hAnsi="Arial" w:cs="Arial"/>
                <w:sz w:val="20"/>
                <w:szCs w:val="20"/>
              </w:rPr>
            </w:pPr>
            <w:r w:rsidRPr="00461403">
              <w:rPr>
                <w:rFonts w:ascii="Arial" w:hAnsi="Arial" w:cs="Arial"/>
                <w:sz w:val="18"/>
                <w:szCs w:val="18"/>
              </w:rPr>
              <w:t>143</w:t>
            </w:r>
          </w:p>
        </w:tc>
        <w:tc>
          <w:tcPr>
            <w:tcW w:w="0" w:type="auto"/>
          </w:tcPr>
          <w:p w14:paraId="49110B6C" w14:textId="7FF04D68" w:rsidR="00F92F35" w:rsidRPr="00087B03" w:rsidRDefault="00F92F35" w:rsidP="00F92F35">
            <w:pPr>
              <w:jc w:val="center"/>
              <w:rPr>
                <w:rFonts w:ascii="Arial" w:hAnsi="Arial" w:cs="Arial"/>
                <w:sz w:val="20"/>
                <w:szCs w:val="20"/>
              </w:rPr>
            </w:pPr>
            <w:r w:rsidRPr="00461403">
              <w:rPr>
                <w:rFonts w:ascii="Arial" w:hAnsi="Arial" w:cs="Arial"/>
                <w:sz w:val="18"/>
                <w:szCs w:val="18"/>
              </w:rPr>
              <w:t>199.2</w:t>
            </w:r>
          </w:p>
        </w:tc>
        <w:tc>
          <w:tcPr>
            <w:tcW w:w="0" w:type="auto"/>
          </w:tcPr>
          <w:p w14:paraId="2DF014BD" w14:textId="40D69906" w:rsidR="00F92F35" w:rsidRPr="00087B03" w:rsidRDefault="00F92F35" w:rsidP="00F92F35">
            <w:pPr>
              <w:jc w:val="center"/>
              <w:rPr>
                <w:rFonts w:ascii="Arial" w:hAnsi="Arial" w:cs="Arial"/>
                <w:sz w:val="20"/>
                <w:szCs w:val="20"/>
              </w:rPr>
            </w:pPr>
            <w:r w:rsidRPr="00461403">
              <w:rPr>
                <w:rFonts w:ascii="Arial" w:hAnsi="Arial" w:cs="Arial"/>
                <w:sz w:val="18"/>
                <w:szCs w:val="18"/>
              </w:rPr>
              <w:t>178.2</w:t>
            </w:r>
          </w:p>
        </w:tc>
        <w:tc>
          <w:tcPr>
            <w:tcW w:w="0" w:type="auto"/>
          </w:tcPr>
          <w:p w14:paraId="6E585CB7" w14:textId="03B959F8" w:rsidR="00F92F35" w:rsidRPr="00087B03" w:rsidRDefault="00F92F35" w:rsidP="00F92F35">
            <w:pPr>
              <w:jc w:val="center"/>
              <w:rPr>
                <w:rFonts w:ascii="Arial" w:hAnsi="Arial" w:cs="Arial"/>
                <w:sz w:val="20"/>
                <w:szCs w:val="20"/>
              </w:rPr>
            </w:pPr>
            <w:r w:rsidRPr="00461403">
              <w:rPr>
                <w:rFonts w:ascii="Arial" w:hAnsi="Arial" w:cs="Arial"/>
                <w:sz w:val="18"/>
                <w:szCs w:val="18"/>
              </w:rPr>
              <w:t>21.0</w:t>
            </w:r>
          </w:p>
        </w:tc>
        <w:tc>
          <w:tcPr>
            <w:tcW w:w="0" w:type="auto"/>
          </w:tcPr>
          <w:p w14:paraId="4EE9D250" w14:textId="78BD29F3" w:rsidR="00F92F35" w:rsidRPr="00087B03" w:rsidRDefault="00F92F35" w:rsidP="00F92F35">
            <w:pPr>
              <w:jc w:val="center"/>
              <w:rPr>
                <w:rFonts w:ascii="Arial" w:hAnsi="Arial" w:cs="Arial"/>
                <w:sz w:val="20"/>
                <w:szCs w:val="20"/>
              </w:rPr>
            </w:pPr>
            <w:r w:rsidRPr="00461403">
              <w:rPr>
                <w:rFonts w:ascii="Arial" w:hAnsi="Arial" w:cs="Arial"/>
                <w:sz w:val="18"/>
                <w:szCs w:val="18"/>
              </w:rPr>
              <w:t>10.5%</w:t>
            </w:r>
          </w:p>
        </w:tc>
        <w:tc>
          <w:tcPr>
            <w:tcW w:w="0" w:type="auto"/>
          </w:tcPr>
          <w:p w14:paraId="7B362E63" w14:textId="0BFF4B96" w:rsidR="00F92F35" w:rsidRPr="00087B03" w:rsidRDefault="00F92F35" w:rsidP="00F92F35">
            <w:pPr>
              <w:jc w:val="center"/>
              <w:rPr>
                <w:rFonts w:ascii="Arial" w:hAnsi="Arial" w:cs="Arial"/>
                <w:sz w:val="20"/>
                <w:szCs w:val="20"/>
              </w:rPr>
            </w:pPr>
            <w:r w:rsidRPr="00461403">
              <w:rPr>
                <w:rFonts w:ascii="Arial" w:hAnsi="Arial" w:cs="Arial"/>
                <w:sz w:val="18"/>
                <w:szCs w:val="18"/>
              </w:rPr>
              <w:t>83.0</w:t>
            </w:r>
          </w:p>
        </w:tc>
      </w:tr>
      <w:tr w:rsidR="00F92F35" w14:paraId="0E9E22F0" w14:textId="77777777" w:rsidTr="00587396">
        <w:tc>
          <w:tcPr>
            <w:tcW w:w="0" w:type="auto"/>
          </w:tcPr>
          <w:p w14:paraId="227A61B7" w14:textId="0C722102" w:rsidR="00F92F35" w:rsidRPr="007E0A27" w:rsidRDefault="00F92F35" w:rsidP="00F92F35">
            <w:pPr>
              <w:keepNext/>
              <w:keepLines/>
              <w:rPr>
                <w:rFonts w:ascii="Arial" w:hAnsi="Arial" w:cs="Arial"/>
                <w:sz w:val="20"/>
                <w:szCs w:val="20"/>
              </w:rPr>
            </w:pPr>
            <w:r w:rsidRPr="00461403">
              <w:rPr>
                <w:rFonts w:ascii="Arial" w:hAnsi="Arial" w:cs="Arial"/>
                <w:b/>
                <w:sz w:val="18"/>
                <w:szCs w:val="18"/>
              </w:rPr>
              <w:t>Average</w:t>
            </w:r>
          </w:p>
        </w:tc>
        <w:tc>
          <w:tcPr>
            <w:tcW w:w="0" w:type="auto"/>
          </w:tcPr>
          <w:p w14:paraId="4C037C5A" w14:textId="043F4022" w:rsidR="00F92F35" w:rsidRPr="00087B03" w:rsidRDefault="00F92F35" w:rsidP="00F92F35">
            <w:pPr>
              <w:jc w:val="center"/>
              <w:rPr>
                <w:rFonts w:ascii="Arial" w:hAnsi="Arial" w:cs="Arial"/>
                <w:sz w:val="20"/>
                <w:szCs w:val="20"/>
              </w:rPr>
            </w:pPr>
            <w:r w:rsidRPr="00F92F35">
              <w:rPr>
                <w:rFonts w:ascii="Arial" w:hAnsi="Arial" w:cs="Arial"/>
                <w:b/>
                <w:sz w:val="18"/>
                <w:szCs w:val="18"/>
              </w:rPr>
              <w:t>239</w:t>
            </w:r>
          </w:p>
        </w:tc>
        <w:tc>
          <w:tcPr>
            <w:tcW w:w="0" w:type="auto"/>
          </w:tcPr>
          <w:p w14:paraId="3CC65E7D" w14:textId="5F6BF621" w:rsidR="00F92F35" w:rsidRPr="00087B03" w:rsidRDefault="00F92F35" w:rsidP="00F92F35">
            <w:pPr>
              <w:jc w:val="center"/>
              <w:rPr>
                <w:rFonts w:ascii="Arial" w:hAnsi="Arial" w:cs="Arial"/>
                <w:sz w:val="20"/>
                <w:szCs w:val="20"/>
              </w:rPr>
            </w:pPr>
            <w:r w:rsidRPr="00F92F35">
              <w:rPr>
                <w:rFonts w:ascii="Arial" w:hAnsi="Arial" w:cs="Arial"/>
                <w:b/>
                <w:sz w:val="18"/>
                <w:szCs w:val="18"/>
              </w:rPr>
              <w:t>144</w:t>
            </w:r>
          </w:p>
        </w:tc>
        <w:tc>
          <w:tcPr>
            <w:tcW w:w="0" w:type="auto"/>
          </w:tcPr>
          <w:p w14:paraId="2123BA6D" w14:textId="439F8837" w:rsidR="00F92F35" w:rsidRPr="00087B03" w:rsidRDefault="00F92F35" w:rsidP="00F92F35">
            <w:pPr>
              <w:jc w:val="center"/>
              <w:rPr>
                <w:rFonts w:ascii="Arial" w:hAnsi="Arial" w:cs="Arial"/>
                <w:sz w:val="20"/>
                <w:szCs w:val="20"/>
              </w:rPr>
            </w:pPr>
            <w:r w:rsidRPr="00F92F35">
              <w:rPr>
                <w:rFonts w:ascii="Arial" w:hAnsi="Arial" w:cs="Arial"/>
                <w:b/>
                <w:sz w:val="18"/>
                <w:szCs w:val="18"/>
              </w:rPr>
              <w:t>207.2</w:t>
            </w:r>
          </w:p>
        </w:tc>
        <w:tc>
          <w:tcPr>
            <w:tcW w:w="0" w:type="auto"/>
          </w:tcPr>
          <w:p w14:paraId="72B3B957" w14:textId="6C425D70" w:rsidR="00F92F35" w:rsidRPr="00087B03" w:rsidRDefault="00F92F35" w:rsidP="00F92F35">
            <w:pPr>
              <w:jc w:val="center"/>
              <w:rPr>
                <w:rFonts w:ascii="Arial" w:hAnsi="Arial" w:cs="Arial"/>
                <w:sz w:val="20"/>
                <w:szCs w:val="20"/>
              </w:rPr>
            </w:pPr>
            <w:r w:rsidRPr="00F92F35">
              <w:rPr>
                <w:rFonts w:ascii="Arial" w:hAnsi="Arial" w:cs="Arial"/>
                <w:b/>
                <w:sz w:val="18"/>
                <w:szCs w:val="18"/>
              </w:rPr>
              <w:t>184.7</w:t>
            </w:r>
          </w:p>
        </w:tc>
        <w:tc>
          <w:tcPr>
            <w:tcW w:w="0" w:type="auto"/>
          </w:tcPr>
          <w:p w14:paraId="73DA4553" w14:textId="4304631C" w:rsidR="00F92F35" w:rsidRPr="00087B03" w:rsidRDefault="00F92F35" w:rsidP="00F92F35">
            <w:pPr>
              <w:jc w:val="center"/>
              <w:rPr>
                <w:rFonts w:ascii="Arial" w:hAnsi="Arial" w:cs="Arial"/>
                <w:sz w:val="20"/>
                <w:szCs w:val="20"/>
              </w:rPr>
            </w:pPr>
            <w:r w:rsidRPr="00F92F35">
              <w:rPr>
                <w:rFonts w:ascii="Arial" w:hAnsi="Arial" w:cs="Arial"/>
                <w:b/>
                <w:sz w:val="18"/>
                <w:szCs w:val="18"/>
              </w:rPr>
              <w:t>22.5</w:t>
            </w:r>
          </w:p>
        </w:tc>
        <w:tc>
          <w:tcPr>
            <w:tcW w:w="0" w:type="auto"/>
          </w:tcPr>
          <w:p w14:paraId="17A271C6" w14:textId="2F674915" w:rsidR="00F92F35" w:rsidRPr="00087B03" w:rsidRDefault="00F92F35" w:rsidP="00F92F35">
            <w:pPr>
              <w:jc w:val="center"/>
              <w:rPr>
                <w:rFonts w:ascii="Arial" w:hAnsi="Arial" w:cs="Arial"/>
                <w:sz w:val="20"/>
                <w:szCs w:val="20"/>
              </w:rPr>
            </w:pPr>
            <w:r w:rsidRPr="00F92F35">
              <w:rPr>
                <w:rFonts w:ascii="Arial" w:hAnsi="Arial" w:cs="Arial"/>
                <w:b/>
                <w:sz w:val="18"/>
                <w:szCs w:val="18"/>
              </w:rPr>
              <w:t>10.8%</w:t>
            </w:r>
          </w:p>
        </w:tc>
        <w:tc>
          <w:tcPr>
            <w:tcW w:w="0" w:type="auto"/>
          </w:tcPr>
          <w:p w14:paraId="4DF36CB4" w14:textId="40135DC6" w:rsidR="00F92F35" w:rsidRPr="00087B03" w:rsidRDefault="00F92F35" w:rsidP="00F92F35">
            <w:pPr>
              <w:jc w:val="center"/>
              <w:rPr>
                <w:rFonts w:ascii="Arial" w:hAnsi="Arial" w:cs="Arial"/>
                <w:sz w:val="20"/>
                <w:szCs w:val="20"/>
              </w:rPr>
            </w:pPr>
            <w:r w:rsidRPr="00F92F35">
              <w:rPr>
                <w:rFonts w:ascii="Arial" w:hAnsi="Arial" w:cs="Arial"/>
                <w:b/>
                <w:sz w:val="18"/>
                <w:szCs w:val="18"/>
              </w:rPr>
              <w:t>82.6</w:t>
            </w:r>
          </w:p>
        </w:tc>
      </w:tr>
    </w:tbl>
    <w:p w14:paraId="34C9AD8D" w14:textId="5648CE9B" w:rsidR="00AF3625" w:rsidRDefault="00AF3625" w:rsidP="00B63E3A"/>
    <w:p w14:paraId="3813D5B6" w14:textId="5F2E21E9" w:rsidR="0092030A" w:rsidRDefault="00DD01A1" w:rsidP="0092030A">
      <w:pPr>
        <w:pStyle w:val="Heading1"/>
      </w:pPr>
      <w:bookmarkStart w:id="157" w:name="_Toc415761835"/>
      <w:r>
        <w:t>5</w:t>
      </w:r>
      <w:r w:rsidR="0092030A">
        <w:t xml:space="preserve">. </w:t>
      </w:r>
      <w:r w:rsidR="00933F01" w:rsidRPr="00933F01">
        <w:rPr>
          <w:i/>
        </w:rPr>
        <w:t>Ex-ante</w:t>
      </w:r>
      <w:r w:rsidR="00197099">
        <w:t xml:space="preserve"> Load Impact Forecast</w:t>
      </w:r>
      <w:bookmarkEnd w:id="157"/>
    </w:p>
    <w:p w14:paraId="234E5DD9" w14:textId="1CD0416B" w:rsidR="00AC2B22" w:rsidRDefault="00AC2B22" w:rsidP="00AC2B22">
      <w:pPr>
        <w:pStyle w:val="Heading2"/>
      </w:pPr>
      <w:bookmarkStart w:id="158" w:name="_Toc289180090"/>
      <w:bookmarkStart w:id="159" w:name="_Toc326224653"/>
      <w:bookmarkStart w:id="160" w:name="_Toc383597941"/>
      <w:bookmarkStart w:id="161" w:name="_Toc415761836"/>
      <w:r>
        <w:t xml:space="preserve">5.1 </w:t>
      </w:r>
      <w:r w:rsidR="00933F01" w:rsidRPr="00933F01">
        <w:t>Ex-ante</w:t>
      </w:r>
      <w:r>
        <w:t xml:space="preserve"> Load Impact Requirements</w:t>
      </w:r>
      <w:bookmarkEnd w:id="158"/>
      <w:bookmarkEnd w:id="159"/>
      <w:bookmarkEnd w:id="160"/>
      <w:bookmarkEnd w:id="161"/>
    </w:p>
    <w:p w14:paraId="10730B0D" w14:textId="77777777" w:rsidR="00AC2B22" w:rsidRDefault="00AC2B22" w:rsidP="00AC2B22">
      <w:pPr>
        <w:spacing w:after="240"/>
      </w:pPr>
      <w:r>
        <w:t>The DR Load Impact Evaluation Protocols require that hourly load impact forecasts for event-based DR resources must be reported at the program level and by LCA for the following scenarios:</w:t>
      </w:r>
    </w:p>
    <w:p w14:paraId="287BB48F" w14:textId="77777777" w:rsidR="00AC2B22" w:rsidRDefault="00AC2B22" w:rsidP="00AC2B22">
      <w:pPr>
        <w:numPr>
          <w:ilvl w:val="0"/>
          <w:numId w:val="3"/>
        </w:numPr>
        <w:tabs>
          <w:tab w:val="clear" w:pos="720"/>
          <w:tab w:val="num" w:pos="-360"/>
        </w:tabs>
      </w:pPr>
      <w:r>
        <w:lastRenderedPageBreak/>
        <w:t>For a typical event day in each year; and</w:t>
      </w:r>
    </w:p>
    <w:p w14:paraId="2CCAACB0" w14:textId="77777777" w:rsidR="00AC2B22" w:rsidRDefault="00AC2B22" w:rsidP="00AC2B22">
      <w:pPr>
        <w:numPr>
          <w:ilvl w:val="0"/>
          <w:numId w:val="3"/>
        </w:numPr>
        <w:tabs>
          <w:tab w:val="clear" w:pos="720"/>
          <w:tab w:val="num" w:pos="-360"/>
        </w:tabs>
      </w:pPr>
      <w:r>
        <w:t>For the monthly system peak load day in each month for which the resource is available;</w:t>
      </w:r>
    </w:p>
    <w:p w14:paraId="764FB480" w14:textId="77777777" w:rsidR="00AC2B22" w:rsidRDefault="00AC2B22" w:rsidP="00AC2B22">
      <w:pPr>
        <w:spacing w:before="240" w:after="240"/>
      </w:pPr>
      <w:r>
        <w:t>under both:</w:t>
      </w:r>
    </w:p>
    <w:p w14:paraId="6ACC8729" w14:textId="77777777" w:rsidR="00AC2B22" w:rsidRDefault="00AC2B22" w:rsidP="00AC2B22">
      <w:pPr>
        <w:numPr>
          <w:ilvl w:val="0"/>
          <w:numId w:val="4"/>
        </w:numPr>
        <w:tabs>
          <w:tab w:val="clear" w:pos="720"/>
          <w:tab w:val="num" w:pos="-360"/>
        </w:tabs>
      </w:pPr>
      <w:r>
        <w:t>1-in-2 weather conditions, and</w:t>
      </w:r>
    </w:p>
    <w:p w14:paraId="436A290E" w14:textId="460F9DA6" w:rsidR="00AC2B22" w:rsidRDefault="00AC2B22" w:rsidP="00AC2B22">
      <w:pPr>
        <w:numPr>
          <w:ilvl w:val="0"/>
          <w:numId w:val="4"/>
        </w:numPr>
        <w:tabs>
          <w:tab w:val="clear" w:pos="720"/>
          <w:tab w:val="num" w:pos="-360"/>
        </w:tabs>
      </w:pPr>
      <w:r>
        <w:t>1-in-10 weather conditions</w:t>
      </w:r>
      <w:r w:rsidR="008E1A83" w:rsidRPr="008E1A83">
        <w:t xml:space="preserve"> </w:t>
      </w:r>
      <w:r w:rsidR="008E1A83">
        <w:t>for both utility-specific and CAISO-coincident load conditions;</w:t>
      </w:r>
    </w:p>
    <w:p w14:paraId="5AB5CCFC" w14:textId="77777777" w:rsidR="00AC2B22" w:rsidRDefault="00AC2B22" w:rsidP="00AC2B22">
      <w:pPr>
        <w:spacing w:before="240" w:after="240"/>
      </w:pPr>
      <w:bookmarkStart w:id="162" w:name="_Toc199306252"/>
      <w:r>
        <w:t>at both:</w:t>
      </w:r>
    </w:p>
    <w:p w14:paraId="0B85C3A8" w14:textId="77777777" w:rsidR="00AC2B22" w:rsidRDefault="00AC2B22" w:rsidP="00AC2B22">
      <w:pPr>
        <w:numPr>
          <w:ilvl w:val="0"/>
          <w:numId w:val="4"/>
        </w:numPr>
        <w:tabs>
          <w:tab w:val="clear" w:pos="720"/>
          <w:tab w:val="num" w:pos="-360"/>
        </w:tabs>
      </w:pPr>
      <w:r>
        <w:t>the program level (</w:t>
      </w:r>
      <w:r w:rsidRPr="0057112A">
        <w:rPr>
          <w:i/>
        </w:rPr>
        <w:t>i.e.</w:t>
      </w:r>
      <w:r>
        <w:t>, in which only the program in question is called), and</w:t>
      </w:r>
    </w:p>
    <w:p w14:paraId="25AFAAEC" w14:textId="408AA74C" w:rsidR="00AC2B22" w:rsidRDefault="00AC2B22" w:rsidP="00AC2B22">
      <w:pPr>
        <w:numPr>
          <w:ilvl w:val="0"/>
          <w:numId w:val="4"/>
        </w:numPr>
        <w:tabs>
          <w:tab w:val="clear" w:pos="720"/>
          <w:tab w:val="num" w:pos="-360"/>
        </w:tabs>
      </w:pPr>
      <w:r>
        <w:t>the portfolio level (</w:t>
      </w:r>
      <w:r w:rsidRPr="0057112A">
        <w:rPr>
          <w:i/>
        </w:rPr>
        <w:t>i.e.</w:t>
      </w:r>
      <w:r>
        <w:t xml:space="preserve">, in which all </w:t>
      </w:r>
      <w:r w:rsidR="00C069AD">
        <w:t>DR</w:t>
      </w:r>
      <w:r>
        <w:t xml:space="preserve"> programs are called).</w:t>
      </w:r>
    </w:p>
    <w:p w14:paraId="5F3CDDA0" w14:textId="77777777" w:rsidR="00AC2B22" w:rsidRDefault="00AC2B22" w:rsidP="00AC2B22">
      <w:pPr>
        <w:pStyle w:val="Heading2"/>
      </w:pPr>
      <w:bookmarkStart w:id="163" w:name="_Toc227658379"/>
      <w:bookmarkStart w:id="164" w:name="_Toc252887012"/>
      <w:bookmarkStart w:id="165" w:name="_Toc257708624"/>
      <w:bookmarkStart w:id="166" w:name="_Toc289180091"/>
      <w:bookmarkStart w:id="167" w:name="_Toc326224654"/>
      <w:bookmarkStart w:id="168" w:name="_Toc383597942"/>
      <w:bookmarkStart w:id="169" w:name="_Toc415761837"/>
      <w:r>
        <w:t>5.2 Description of Methods</w:t>
      </w:r>
      <w:bookmarkEnd w:id="162"/>
      <w:bookmarkEnd w:id="163"/>
      <w:bookmarkEnd w:id="164"/>
      <w:bookmarkEnd w:id="165"/>
      <w:bookmarkEnd w:id="166"/>
      <w:bookmarkEnd w:id="167"/>
      <w:bookmarkEnd w:id="168"/>
      <w:bookmarkEnd w:id="169"/>
    </w:p>
    <w:p w14:paraId="3D0F1E50" w14:textId="77777777" w:rsidR="00AC2B22" w:rsidRDefault="00AC2B22" w:rsidP="00AC2B22">
      <w:r>
        <w:t xml:space="preserve">This section describes the methods used to develop the relevant groups of customers, to develop reference loads for the relevant customer types and event day-types, and to develop percentage load impacts for a typical event day.  </w:t>
      </w:r>
    </w:p>
    <w:p w14:paraId="080ABF14" w14:textId="77777777" w:rsidR="00AC2B22" w:rsidRPr="00D5415E" w:rsidRDefault="00AC2B22" w:rsidP="00AC2B22">
      <w:pPr>
        <w:pStyle w:val="Heading3"/>
        <w:rPr>
          <w:sz w:val="22"/>
          <w:szCs w:val="22"/>
        </w:rPr>
      </w:pPr>
      <w:bookmarkStart w:id="170" w:name="_Toc227658380"/>
      <w:bookmarkStart w:id="171" w:name="_Toc252887013"/>
      <w:bookmarkStart w:id="172" w:name="_Toc257708625"/>
      <w:bookmarkStart w:id="173" w:name="_Toc289180092"/>
      <w:bookmarkStart w:id="174" w:name="_Toc326224655"/>
      <w:bookmarkStart w:id="175" w:name="_Toc383597943"/>
      <w:bookmarkStart w:id="176" w:name="_Toc415761838"/>
      <w:r>
        <w:rPr>
          <w:sz w:val="22"/>
          <w:szCs w:val="22"/>
        </w:rPr>
        <w:t>5</w:t>
      </w:r>
      <w:r w:rsidRPr="00D5415E">
        <w:rPr>
          <w:sz w:val="22"/>
          <w:szCs w:val="22"/>
        </w:rPr>
        <w:t>.2.1 Development of Customer Groups</w:t>
      </w:r>
      <w:bookmarkEnd w:id="170"/>
      <w:bookmarkEnd w:id="171"/>
      <w:bookmarkEnd w:id="172"/>
      <w:bookmarkEnd w:id="173"/>
      <w:bookmarkEnd w:id="174"/>
      <w:bookmarkEnd w:id="175"/>
      <w:bookmarkEnd w:id="176"/>
    </w:p>
    <w:p w14:paraId="1F5117D7" w14:textId="2240DC03" w:rsidR="00AC2B22" w:rsidRDefault="00AC2B22" w:rsidP="00AC2B22">
      <w:r>
        <w:t>For PG&amp;E, customer accounts were assigned to one of three size groups and the relevant LCA. The three size groups were the following:</w:t>
      </w:r>
    </w:p>
    <w:p w14:paraId="050C6814" w14:textId="77777777" w:rsidR="00AC2B22" w:rsidRDefault="00AC2B22" w:rsidP="00AC2B22">
      <w:pPr>
        <w:numPr>
          <w:ilvl w:val="0"/>
          <w:numId w:val="5"/>
        </w:numPr>
        <w:tabs>
          <w:tab w:val="clear" w:pos="720"/>
          <w:tab w:val="num" w:pos="-360"/>
        </w:tabs>
      </w:pPr>
      <w:r>
        <w:t>Small – maximum demand less than 20 kW;</w:t>
      </w:r>
    </w:p>
    <w:p w14:paraId="480179FE" w14:textId="77777777" w:rsidR="00AC2B22" w:rsidRDefault="00AC2B22" w:rsidP="00AC2B22">
      <w:pPr>
        <w:numPr>
          <w:ilvl w:val="0"/>
          <w:numId w:val="5"/>
        </w:numPr>
        <w:tabs>
          <w:tab w:val="clear" w:pos="720"/>
          <w:tab w:val="num" w:pos="-360"/>
        </w:tabs>
      </w:pPr>
      <w:r>
        <w:t>Medium – maximum demand between 20 and 200 kW;</w:t>
      </w:r>
    </w:p>
    <w:p w14:paraId="7BB1DDFC" w14:textId="77777777" w:rsidR="00AC2B22" w:rsidRDefault="00AC2B22" w:rsidP="00AC2B22">
      <w:pPr>
        <w:numPr>
          <w:ilvl w:val="0"/>
          <w:numId w:val="5"/>
        </w:numPr>
        <w:tabs>
          <w:tab w:val="clear" w:pos="720"/>
          <w:tab w:val="num" w:pos="-360"/>
        </w:tabs>
      </w:pPr>
      <w:r>
        <w:t>Large – maximum demand greater than 200 kW.</w:t>
      </w:r>
    </w:p>
    <w:p w14:paraId="719E0F25" w14:textId="77777777" w:rsidR="00AC2B22" w:rsidRDefault="00AC2B22" w:rsidP="00AC2B22"/>
    <w:p w14:paraId="57B7EF5B" w14:textId="77777777" w:rsidR="00AC2B22" w:rsidRDefault="00AC2B22" w:rsidP="00AC2B22">
      <w:r>
        <w:t xml:space="preserve">The total number of customer “cells” developed is therefore equal to 24 (= 3 size groups x 8 LCAs).  </w:t>
      </w:r>
    </w:p>
    <w:p w14:paraId="46666C12" w14:textId="77777777" w:rsidR="00AC2B22" w:rsidRDefault="00AC2B22" w:rsidP="00AC2B22"/>
    <w:p w14:paraId="624CCB99" w14:textId="699747C1" w:rsidR="00AC2B22" w:rsidRDefault="00AC2B22" w:rsidP="00AC2B22">
      <w:r w:rsidRPr="00667174">
        <w:t xml:space="preserve">For SCE, the analysis </w:t>
      </w:r>
      <w:r w:rsidR="00667174" w:rsidRPr="00667174">
        <w:t xml:space="preserve">accounts for the removal of </w:t>
      </w:r>
      <w:r w:rsidRPr="00667174">
        <w:t xml:space="preserve">"non-performing" customers from </w:t>
      </w:r>
      <w:r w:rsidR="00667174" w:rsidRPr="00667174">
        <w:t>the program in early 2015 (and to a lesser extent the following two years)</w:t>
      </w:r>
      <w:r w:rsidRPr="00667174">
        <w:t xml:space="preserve">. Based on current estimates, approximately </w:t>
      </w:r>
      <w:r w:rsidR="00667174" w:rsidRPr="00667174">
        <w:t>140</w:t>
      </w:r>
      <w:r w:rsidRPr="00667174">
        <w:t xml:space="preserve"> service accounts will be removed from DBP </w:t>
      </w:r>
      <w:r w:rsidR="00667174" w:rsidRPr="00667174">
        <w:t xml:space="preserve">between February and April 2015. </w:t>
      </w:r>
      <w:r w:rsidRPr="00667174">
        <w:t xml:space="preserve">SCE provided a list of the non-performing service accounts, which we have removed from our </w:t>
      </w:r>
      <w:r w:rsidR="00933F01" w:rsidRPr="00933F01">
        <w:rPr>
          <w:i/>
        </w:rPr>
        <w:t>ex-ante</w:t>
      </w:r>
      <w:r w:rsidRPr="00667174">
        <w:t xml:space="preserve"> forecasting process beginning in </w:t>
      </w:r>
      <w:r w:rsidR="00667174" w:rsidRPr="00667174">
        <w:t xml:space="preserve">April </w:t>
      </w:r>
      <w:r w:rsidRPr="00667174">
        <w:t>201</w:t>
      </w:r>
      <w:r w:rsidR="00667174" w:rsidRPr="00667174">
        <w:t>5</w:t>
      </w:r>
      <w:r w:rsidRPr="00667174">
        <w:t xml:space="preserve"> (</w:t>
      </w:r>
      <w:r w:rsidR="00667174" w:rsidRPr="00667174">
        <w:t>when 128 of the 140 removals are expected to occur</w:t>
      </w:r>
      <w:r w:rsidRPr="00667174">
        <w:t>).</w:t>
      </w:r>
      <w:r>
        <w:t xml:space="preserve"> </w:t>
      </w:r>
    </w:p>
    <w:p w14:paraId="372B9D5A" w14:textId="77777777" w:rsidR="00AC2B22" w:rsidRDefault="00AC2B22" w:rsidP="00AC2B22"/>
    <w:p w14:paraId="1F404756" w14:textId="77777777" w:rsidR="00AC2B22" w:rsidRDefault="00AC2B22" w:rsidP="00AC2B22">
      <w:r>
        <w:t xml:space="preserve">For SDG&amp;E, we assume that the currently enrolled customers continue to participate in DBP, so we do not need to develop customer groups. </w:t>
      </w:r>
    </w:p>
    <w:p w14:paraId="7FFD6636" w14:textId="77777777" w:rsidR="00AC2B22" w:rsidRPr="00D5415E" w:rsidRDefault="00AC2B22" w:rsidP="00AC2B22">
      <w:pPr>
        <w:pStyle w:val="Heading3"/>
        <w:rPr>
          <w:sz w:val="22"/>
          <w:szCs w:val="22"/>
        </w:rPr>
      </w:pPr>
      <w:bookmarkStart w:id="177" w:name="_Toc227658381"/>
      <w:bookmarkStart w:id="178" w:name="_Toc252887014"/>
      <w:bookmarkStart w:id="179" w:name="_Toc257708626"/>
      <w:bookmarkStart w:id="180" w:name="_Toc289180093"/>
      <w:bookmarkStart w:id="181" w:name="_Toc326224656"/>
      <w:bookmarkStart w:id="182" w:name="_Toc383597944"/>
      <w:bookmarkStart w:id="183" w:name="_Toc415761839"/>
      <w:r>
        <w:rPr>
          <w:sz w:val="22"/>
          <w:szCs w:val="22"/>
        </w:rPr>
        <w:t>5.</w:t>
      </w:r>
      <w:r w:rsidRPr="00D5415E">
        <w:rPr>
          <w:sz w:val="22"/>
          <w:szCs w:val="22"/>
        </w:rPr>
        <w:t>2.</w:t>
      </w:r>
      <w:r>
        <w:rPr>
          <w:sz w:val="22"/>
          <w:szCs w:val="22"/>
        </w:rPr>
        <w:t>2</w:t>
      </w:r>
      <w:r w:rsidRPr="00D5415E">
        <w:rPr>
          <w:sz w:val="22"/>
          <w:szCs w:val="22"/>
        </w:rPr>
        <w:t xml:space="preserve"> Development of </w:t>
      </w:r>
      <w:r>
        <w:rPr>
          <w:sz w:val="22"/>
          <w:szCs w:val="22"/>
        </w:rPr>
        <w:t>Reference Loads and Load Impacts</w:t>
      </w:r>
      <w:bookmarkEnd w:id="177"/>
      <w:bookmarkEnd w:id="178"/>
      <w:bookmarkEnd w:id="179"/>
      <w:bookmarkEnd w:id="180"/>
      <w:bookmarkEnd w:id="181"/>
      <w:bookmarkEnd w:id="182"/>
      <w:bookmarkEnd w:id="183"/>
    </w:p>
    <w:p w14:paraId="374719C2" w14:textId="77777777" w:rsidR="00AC2B22" w:rsidRDefault="00AC2B22" w:rsidP="00AC2B22">
      <w:r>
        <w:t>Reference loads and load impacts for all of the above factors were developed in the following series of steps:</w:t>
      </w:r>
    </w:p>
    <w:p w14:paraId="3DB3EFEF" w14:textId="77777777" w:rsidR="00AC2B22" w:rsidRDefault="00AC2B22" w:rsidP="00AC2B22"/>
    <w:p w14:paraId="3B08701A" w14:textId="77777777" w:rsidR="00AC2B22" w:rsidRDefault="00AC2B22" w:rsidP="00AC2B22">
      <w:pPr>
        <w:numPr>
          <w:ilvl w:val="0"/>
          <w:numId w:val="6"/>
        </w:numPr>
      </w:pPr>
      <w:r>
        <w:lastRenderedPageBreak/>
        <w:t>Define data sources;</w:t>
      </w:r>
    </w:p>
    <w:p w14:paraId="4DC16BD6" w14:textId="428D7019" w:rsidR="00AC2B22" w:rsidRDefault="00AC2B22" w:rsidP="00AC2B22">
      <w:pPr>
        <w:numPr>
          <w:ilvl w:val="0"/>
          <w:numId w:val="6"/>
        </w:numPr>
      </w:pPr>
      <w:r>
        <w:t xml:space="preserve">Estimate </w:t>
      </w:r>
      <w:r w:rsidR="00933F01" w:rsidRPr="00933F01">
        <w:rPr>
          <w:i/>
        </w:rPr>
        <w:t>ex-ante</w:t>
      </w:r>
      <w:r>
        <w:t xml:space="preserve"> regressions and simulate reference loads by service account and scenario;</w:t>
      </w:r>
    </w:p>
    <w:p w14:paraId="1052DB25" w14:textId="32BE9798" w:rsidR="00AC2B22" w:rsidRDefault="00AC2B22" w:rsidP="00AC2B22">
      <w:pPr>
        <w:numPr>
          <w:ilvl w:val="0"/>
          <w:numId w:val="6"/>
        </w:numPr>
      </w:pPr>
      <w:r>
        <w:t xml:space="preserve">Calculate percentage load impacts from </w:t>
      </w:r>
      <w:r w:rsidR="00933F01" w:rsidRPr="00933F01">
        <w:rPr>
          <w:i/>
        </w:rPr>
        <w:t>ex-post</w:t>
      </w:r>
      <w:r>
        <w:t xml:space="preserve"> results;</w:t>
      </w:r>
    </w:p>
    <w:p w14:paraId="55ADCB38" w14:textId="77777777" w:rsidR="00AC2B22" w:rsidRDefault="00AC2B22" w:rsidP="00AC2B22">
      <w:pPr>
        <w:numPr>
          <w:ilvl w:val="0"/>
          <w:numId w:val="6"/>
        </w:numPr>
      </w:pPr>
      <w:r>
        <w:t>Apply percentage load impacts to the reference loads; and</w:t>
      </w:r>
    </w:p>
    <w:p w14:paraId="075A06B4" w14:textId="77777777" w:rsidR="00AC2B22" w:rsidRDefault="00AC2B22" w:rsidP="00AC2B22">
      <w:pPr>
        <w:numPr>
          <w:ilvl w:val="0"/>
          <w:numId w:val="6"/>
        </w:numPr>
      </w:pPr>
      <w:r>
        <w:t>Scale the reference loads using enrollment forecasts.</w:t>
      </w:r>
    </w:p>
    <w:p w14:paraId="23BFD553" w14:textId="77777777" w:rsidR="00AC2B22" w:rsidRDefault="00AC2B22" w:rsidP="00AC2B22"/>
    <w:p w14:paraId="116791E5" w14:textId="77777777" w:rsidR="00AC2B22" w:rsidRDefault="00AC2B22" w:rsidP="00AC2B22">
      <w:r>
        <w:t>Each of these steps is described below.</w:t>
      </w:r>
    </w:p>
    <w:p w14:paraId="4D54AF45" w14:textId="77777777" w:rsidR="00AC2B22" w:rsidRDefault="00AC2B22" w:rsidP="00AC2B22"/>
    <w:p w14:paraId="44D4C2EE" w14:textId="77777777" w:rsidR="00AC2B22" w:rsidRDefault="00AC2B22" w:rsidP="00AC2B22">
      <w:pPr>
        <w:numPr>
          <w:ilvl w:val="0"/>
          <w:numId w:val="11"/>
        </w:numPr>
      </w:pPr>
      <w:r w:rsidRPr="00A9474C">
        <w:rPr>
          <w:i/>
        </w:rPr>
        <w:t xml:space="preserve">Define </w:t>
      </w:r>
      <w:r>
        <w:rPr>
          <w:i/>
        </w:rPr>
        <w:t>data sources</w:t>
      </w:r>
      <w:r>
        <w:t xml:space="preserve">  </w:t>
      </w:r>
    </w:p>
    <w:p w14:paraId="31470EA3" w14:textId="518C4C51" w:rsidR="00AC2B22" w:rsidRPr="00834007" w:rsidRDefault="008E1A83" w:rsidP="00AC2B22">
      <w:pPr>
        <w:tabs>
          <w:tab w:val="left" w:pos="4140"/>
        </w:tabs>
        <w:rPr>
          <w:b/>
        </w:rPr>
      </w:pPr>
      <w:r>
        <w:t>T</w:t>
      </w:r>
      <w:r w:rsidR="00AC2B22">
        <w:t xml:space="preserve">he reference loads are developed using data for customers enrolled in </w:t>
      </w:r>
      <w:r w:rsidR="00C069AD">
        <w:t xml:space="preserve">the </w:t>
      </w:r>
      <w:r w:rsidR="00AC2B22">
        <w:t>DBP during the 201</w:t>
      </w:r>
      <w:r>
        <w:t>4</w:t>
      </w:r>
      <w:r w:rsidR="00AC2B22">
        <w:t xml:space="preserve"> program year. The percentage load impacts are developed using the estimated </w:t>
      </w:r>
      <w:r w:rsidR="00933F01" w:rsidRPr="00933F01">
        <w:rPr>
          <w:i/>
        </w:rPr>
        <w:t>ex-post</w:t>
      </w:r>
      <w:r w:rsidR="00AC2B22">
        <w:t xml:space="preserve"> load impacts for the same customers, using data from up to three program years (201</w:t>
      </w:r>
      <w:r>
        <w:t>2</w:t>
      </w:r>
      <w:r w:rsidR="00AC2B22">
        <w:t xml:space="preserve"> through 201</w:t>
      </w:r>
      <w:r>
        <w:t>4; only 2013 and 2014 are available for SDG&amp;E</w:t>
      </w:r>
      <w:r w:rsidR="00AC2B22">
        <w:t xml:space="preserve">). </w:t>
      </w:r>
    </w:p>
    <w:p w14:paraId="0E094574" w14:textId="77777777" w:rsidR="00AC2B22" w:rsidRDefault="00AC2B22" w:rsidP="00AC2B22">
      <w:pPr>
        <w:tabs>
          <w:tab w:val="left" w:pos="4140"/>
        </w:tabs>
      </w:pPr>
    </w:p>
    <w:p w14:paraId="14BA3C80" w14:textId="595191D6" w:rsidR="00AC2B22" w:rsidRDefault="00AC2B22" w:rsidP="00AC2B22">
      <w:pPr>
        <w:tabs>
          <w:tab w:val="left" w:pos="4140"/>
        </w:tabs>
      </w:pPr>
      <w:r>
        <w:t xml:space="preserve">For each service account, we determine the appropriate size group, LCA, and dual enrollment status. Service accounts that are dually enrolled in </w:t>
      </w:r>
      <w:r w:rsidR="00C069AD">
        <w:t xml:space="preserve">the </w:t>
      </w:r>
      <w:r>
        <w:t xml:space="preserve">BIP or an aggregator program (e.g., </w:t>
      </w:r>
      <w:r w:rsidR="00C069AD">
        <w:t>the Aggregated Managed Portfolio or</w:t>
      </w:r>
      <w:r>
        <w:t xml:space="preserve"> Capacity Bidding Program) will have their reference loads and load impacts counted in the </w:t>
      </w:r>
      <w:r w:rsidRPr="00277675">
        <w:rPr>
          <w:i/>
        </w:rPr>
        <w:t>program-specific</w:t>
      </w:r>
      <w:r>
        <w:t xml:space="preserve"> scenarios (in which each DR program is assumed to be called in isolation), but not in the </w:t>
      </w:r>
      <w:r w:rsidRPr="00277675">
        <w:rPr>
          <w:i/>
        </w:rPr>
        <w:t>portfolio-level</w:t>
      </w:r>
      <w:r>
        <w:t xml:space="preserve"> scenarios (in which all DR programs are assumed to have been called). </w:t>
      </w:r>
    </w:p>
    <w:p w14:paraId="47AFA74F" w14:textId="77777777" w:rsidR="00AC2B22" w:rsidRDefault="00AC2B22" w:rsidP="00AC2B22">
      <w:pPr>
        <w:tabs>
          <w:tab w:val="left" w:pos="4140"/>
        </w:tabs>
      </w:pPr>
    </w:p>
    <w:p w14:paraId="38B24D01" w14:textId="77777777" w:rsidR="00AC2B22" w:rsidRDefault="00AC2B22" w:rsidP="00AC2B22">
      <w:pPr>
        <w:numPr>
          <w:ilvl w:val="0"/>
          <w:numId w:val="11"/>
        </w:numPr>
      </w:pPr>
      <w:r>
        <w:rPr>
          <w:i/>
        </w:rPr>
        <w:t xml:space="preserve">Simulate reference </w:t>
      </w:r>
      <w:r w:rsidRPr="00AA5190">
        <w:rPr>
          <w:i/>
        </w:rPr>
        <w:t>load</w:t>
      </w:r>
      <w:r>
        <w:rPr>
          <w:i/>
        </w:rPr>
        <w:t>s</w:t>
      </w:r>
      <w:r>
        <w:t xml:space="preserve">  </w:t>
      </w:r>
    </w:p>
    <w:p w14:paraId="2B40E7E5" w14:textId="6A7F6840" w:rsidR="00AC2B22" w:rsidRDefault="00AC2B22" w:rsidP="00AC2B22">
      <w:r>
        <w:t xml:space="preserve">In order to develop reference loads, we first re-estimated regression equations for each </w:t>
      </w:r>
      <w:r w:rsidRPr="00B116E3">
        <w:t>enrolled</w:t>
      </w:r>
      <w:r>
        <w:t xml:space="preserve"> </w:t>
      </w:r>
      <w:r w:rsidR="00C069AD">
        <w:t>service</w:t>
      </w:r>
      <w:r>
        <w:t xml:space="preserve"> account using data for the current program year. The resulting estimates were used to simulate reference loads for each service account under the various scenarios required by the Protocols (</w:t>
      </w:r>
      <w:r w:rsidRPr="004D7BCF">
        <w:rPr>
          <w:i/>
        </w:rPr>
        <w:t>e.g.</w:t>
      </w:r>
      <w:r>
        <w:t xml:space="preserve">, the typical event day in a </w:t>
      </w:r>
      <w:r w:rsidR="008E1A83">
        <w:t xml:space="preserve">utility-specific </w:t>
      </w:r>
      <w:r>
        <w:t xml:space="preserve">1-in-2 weather year).   </w:t>
      </w:r>
    </w:p>
    <w:p w14:paraId="740D0F6F" w14:textId="77777777" w:rsidR="00AC2B22" w:rsidRDefault="00AC2B22" w:rsidP="00AC2B22"/>
    <w:p w14:paraId="34160DF6" w14:textId="4E8903D6" w:rsidR="00AC2B22" w:rsidRPr="003C262F" w:rsidRDefault="00AC2B22" w:rsidP="00AC2B22">
      <w:r w:rsidRPr="002177EE">
        <w:t xml:space="preserve">For the summer months, the re-estimated regression equations were similar in design to the </w:t>
      </w:r>
      <w:r w:rsidR="00933F01" w:rsidRPr="00933F01">
        <w:rPr>
          <w:i/>
        </w:rPr>
        <w:t>ex-post</w:t>
      </w:r>
      <w:r w:rsidRPr="002177EE">
        <w:t xml:space="preserve"> load impact equations described in Section 3.2, </w:t>
      </w:r>
      <w:r w:rsidRPr="00CC5A6A">
        <w:t>differing in two ways.</w:t>
      </w:r>
      <w:r w:rsidRPr="002177EE">
        <w:t xml:space="preserve"> First, the </w:t>
      </w:r>
      <w:r w:rsidR="00933F01" w:rsidRPr="00933F01">
        <w:rPr>
          <w:i/>
        </w:rPr>
        <w:t>ex-ante</w:t>
      </w:r>
      <w:r w:rsidRPr="002177EE">
        <w:t xml:space="preserve"> models excluded the morning-usage variable</w:t>
      </w:r>
      <w:r>
        <w:t>s. While these</w:t>
      </w:r>
      <w:r w:rsidRPr="002177EE">
        <w:t xml:space="preserve"> variable</w:t>
      </w:r>
      <w:r>
        <w:t>s are</w:t>
      </w:r>
      <w:r w:rsidRPr="002177EE">
        <w:t xml:space="preserve"> useful for improving accuracy in estimating </w:t>
      </w:r>
      <w:r w:rsidR="00933F01" w:rsidRPr="00933F01">
        <w:rPr>
          <w:i/>
        </w:rPr>
        <w:t>ex-post</w:t>
      </w:r>
      <w:r w:rsidRPr="002177EE">
        <w:t xml:space="preserve"> load impacts for particular events, </w:t>
      </w:r>
      <w:r>
        <w:t xml:space="preserve">they </w:t>
      </w:r>
      <w:r w:rsidRPr="002177EE">
        <w:t xml:space="preserve">complicate the use of the equations in </w:t>
      </w:r>
      <w:r w:rsidR="00933F01" w:rsidRPr="00933F01">
        <w:rPr>
          <w:i/>
        </w:rPr>
        <w:t>ex-ante</w:t>
      </w:r>
      <w:r w:rsidRPr="002177EE">
        <w:t xml:space="preserve"> simulation. That is, </w:t>
      </w:r>
      <w:r>
        <w:t xml:space="preserve">they </w:t>
      </w:r>
      <w:r w:rsidRPr="002177EE">
        <w:t xml:space="preserve">would require a separate simulation of the level of the morning </w:t>
      </w:r>
      <w:r w:rsidRPr="00277675">
        <w:t xml:space="preserve">load. The second difference </w:t>
      </w:r>
      <w:r w:rsidRPr="003C262F">
        <w:t xml:space="preserve">between the </w:t>
      </w:r>
      <w:r w:rsidR="00933F01" w:rsidRPr="00933F01">
        <w:rPr>
          <w:i/>
        </w:rPr>
        <w:t>ex-post</w:t>
      </w:r>
      <w:r w:rsidRPr="003C262F">
        <w:t xml:space="preserve"> and </w:t>
      </w:r>
      <w:r w:rsidR="00933F01" w:rsidRPr="00933F01">
        <w:rPr>
          <w:i/>
        </w:rPr>
        <w:t>ex-ante</w:t>
      </w:r>
      <w:r w:rsidRPr="003C262F">
        <w:t xml:space="preserve"> models is that the </w:t>
      </w:r>
      <w:r w:rsidR="00933F01" w:rsidRPr="00933F01">
        <w:rPr>
          <w:i/>
        </w:rPr>
        <w:t>ex-ante</w:t>
      </w:r>
      <w:r w:rsidRPr="003C262F">
        <w:t xml:space="preserve"> models use </w:t>
      </w:r>
      <w:r w:rsidRPr="006F24DA">
        <w:t xml:space="preserve">CDH60 as the weather variables in place of the </w:t>
      </w:r>
      <w:r>
        <w:t xml:space="preserve">lagged CDH </w:t>
      </w:r>
      <w:r w:rsidRPr="006F24DA">
        <w:t xml:space="preserve">variables used in the </w:t>
      </w:r>
      <w:r w:rsidR="00933F01" w:rsidRPr="00933F01">
        <w:rPr>
          <w:i/>
        </w:rPr>
        <w:t>ex-post</w:t>
      </w:r>
      <w:r w:rsidRPr="006F24DA">
        <w:t xml:space="preserve"> regressions</w:t>
      </w:r>
      <w:r w:rsidRPr="003C262F">
        <w:t>.</w:t>
      </w:r>
      <w:r>
        <w:t xml:space="preserve"> The primary reason for this is that the </w:t>
      </w:r>
      <w:r w:rsidR="00933F01" w:rsidRPr="00933F01">
        <w:rPr>
          <w:i/>
        </w:rPr>
        <w:t>ex-ante</w:t>
      </w:r>
      <w:r>
        <w:t xml:space="preserve"> weather days were not selected based on weather from the prior day, restricting the use of lagged weather variables to construct the </w:t>
      </w:r>
      <w:r w:rsidR="00933F01" w:rsidRPr="00933F01">
        <w:rPr>
          <w:i/>
        </w:rPr>
        <w:t>ex-ante</w:t>
      </w:r>
      <w:r>
        <w:t xml:space="preserve"> scenarios.</w:t>
      </w:r>
    </w:p>
    <w:p w14:paraId="4D225AED" w14:textId="77777777" w:rsidR="00AC2B22" w:rsidRDefault="00AC2B22" w:rsidP="00AC2B22"/>
    <w:p w14:paraId="3A0717A8" w14:textId="35AD6272" w:rsidR="00AC2B22" w:rsidRDefault="00AC2B22" w:rsidP="00AC2B22">
      <w:r w:rsidRPr="00770A8C">
        <w:t xml:space="preserve">Because DBP events may be called in any month of the year, we estimated separate regression models to allow us to simulate non-summer reference loads. The non-summer model is shown below. This model is estimated separately from the summer </w:t>
      </w:r>
      <w:r w:rsidR="00933F01" w:rsidRPr="00933F01">
        <w:rPr>
          <w:i/>
        </w:rPr>
        <w:lastRenderedPageBreak/>
        <w:t>ex-ante</w:t>
      </w:r>
      <w:r w:rsidRPr="00770A8C">
        <w:t xml:space="preserve"> model. It only differs from the summer model in t</w:t>
      </w:r>
      <w:r w:rsidR="008E1A83">
        <w:t>wo</w:t>
      </w:r>
      <w:r w:rsidRPr="00770A8C">
        <w:t xml:space="preserve"> ways: it includes </w:t>
      </w:r>
      <w:r w:rsidRPr="00770A8C">
        <w:rPr>
          <w:i/>
        </w:rPr>
        <w:t>HDH</w:t>
      </w:r>
      <w:r w:rsidRPr="00770A8C">
        <w:rPr>
          <w:i/>
          <w:vertAlign w:val="subscript"/>
        </w:rPr>
        <w:t>t</w:t>
      </w:r>
      <w:r w:rsidRPr="00770A8C">
        <w:t xml:space="preserve"> variables, where the summer model does not; </w:t>
      </w:r>
      <w:r w:rsidR="008E1A83">
        <w:t xml:space="preserve">and </w:t>
      </w:r>
      <w:r w:rsidRPr="00770A8C">
        <w:t>the month dummies relate to a different set of months. Table 6.</w:t>
      </w:r>
      <w:r>
        <w:t>1</w:t>
      </w:r>
      <w:r w:rsidRPr="00770A8C">
        <w:t xml:space="preserve"> describes the terms included in the equation.</w:t>
      </w:r>
    </w:p>
    <w:p w14:paraId="0047BB9B" w14:textId="77777777" w:rsidR="008E1A83" w:rsidRDefault="008E1A83" w:rsidP="008E1A83"/>
    <w:p w14:paraId="5AF4C7BA" w14:textId="77777777" w:rsidR="008E1A83" w:rsidRDefault="008E1A83" w:rsidP="008E1A83">
      <w:r w:rsidRPr="004061BB">
        <w:rPr>
          <w:position w:val="-136"/>
        </w:rPr>
        <w:object w:dxaOrig="7479" w:dyaOrig="2840" w14:anchorId="3B74860F">
          <v:shape id="_x0000_i1026" type="#_x0000_t75" style="width:374.4pt;height:2in" o:ole="">
            <v:imagedata r:id="rId23" o:title=""/>
          </v:shape>
          <o:OLEObject Type="Embed" ProgID="Equation.3" ShapeID="_x0000_i1026" DrawAspect="Content" ObjectID="_1489503678" r:id="rId24"/>
        </w:object>
      </w:r>
    </w:p>
    <w:p w14:paraId="7B9F2108" w14:textId="77777777" w:rsidR="008E1A83" w:rsidRDefault="008E1A83" w:rsidP="008E1A83"/>
    <w:p w14:paraId="22C31ECD" w14:textId="28A7AE69" w:rsidR="008E1A83" w:rsidRPr="00852320" w:rsidRDefault="008E1A83" w:rsidP="008E1A83">
      <w:pPr>
        <w:pStyle w:val="TableCaption"/>
        <w:keepNext/>
        <w:keepLines/>
      </w:pPr>
      <w:bookmarkStart w:id="184" w:name="_Toc326224700"/>
      <w:bookmarkStart w:id="185" w:name="_Toc411324262"/>
      <w:bookmarkStart w:id="186" w:name="_Toc415761890"/>
      <w:r w:rsidRPr="00852320">
        <w:t xml:space="preserve">Table </w:t>
      </w:r>
      <w:r>
        <w:t>5</w:t>
      </w:r>
      <w:r w:rsidRPr="00852320">
        <w:t>.</w:t>
      </w:r>
      <w:r>
        <w:t>1</w:t>
      </w:r>
      <w:r w:rsidRPr="00852320">
        <w:t xml:space="preserve">: Descriptions of Terms included in the </w:t>
      </w:r>
      <w:r w:rsidR="00933F01" w:rsidRPr="00933F01">
        <w:rPr>
          <w:i/>
        </w:rPr>
        <w:t>Ex-ante</w:t>
      </w:r>
      <w:r w:rsidRPr="00852320">
        <w:t xml:space="preserve"> Regression Equation</w:t>
      </w:r>
      <w:bookmarkEnd w:id="184"/>
      <w:bookmarkEnd w:id="185"/>
      <w:bookmarkEnd w:id="1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7127"/>
      </w:tblGrid>
      <w:tr w:rsidR="008E1A83" w14:paraId="7ECAAD4E" w14:textId="77777777" w:rsidTr="00255FA2">
        <w:trPr>
          <w:jc w:val="center"/>
        </w:trPr>
        <w:tc>
          <w:tcPr>
            <w:tcW w:w="0" w:type="auto"/>
            <w:shd w:val="clear" w:color="auto" w:fill="D9E2F3"/>
            <w:vAlign w:val="center"/>
          </w:tcPr>
          <w:p w14:paraId="328171B8" w14:textId="77777777" w:rsidR="008E1A83" w:rsidRPr="00AA745A" w:rsidRDefault="008E1A83" w:rsidP="00255FA2">
            <w:pPr>
              <w:keepNext/>
              <w:keepLines/>
              <w:jc w:val="center"/>
              <w:rPr>
                <w:rFonts w:ascii="Arial" w:hAnsi="Arial" w:cs="Arial"/>
                <w:b/>
                <w:sz w:val="20"/>
                <w:szCs w:val="20"/>
              </w:rPr>
            </w:pPr>
            <w:r w:rsidRPr="00AA745A">
              <w:rPr>
                <w:rFonts w:ascii="Arial" w:hAnsi="Arial" w:cs="Arial"/>
                <w:b/>
                <w:sz w:val="20"/>
                <w:szCs w:val="20"/>
              </w:rPr>
              <w:t>Variable Name</w:t>
            </w:r>
          </w:p>
        </w:tc>
        <w:tc>
          <w:tcPr>
            <w:tcW w:w="0" w:type="auto"/>
            <w:shd w:val="clear" w:color="auto" w:fill="D9E2F3"/>
            <w:vAlign w:val="center"/>
          </w:tcPr>
          <w:p w14:paraId="2AF4721E" w14:textId="77777777" w:rsidR="008E1A83" w:rsidRPr="00AA745A" w:rsidRDefault="008E1A83" w:rsidP="00255FA2">
            <w:pPr>
              <w:keepNext/>
              <w:keepLines/>
              <w:jc w:val="center"/>
              <w:rPr>
                <w:rFonts w:ascii="Arial" w:hAnsi="Arial" w:cs="Arial"/>
                <w:b/>
                <w:sz w:val="20"/>
                <w:szCs w:val="20"/>
              </w:rPr>
            </w:pPr>
            <w:r w:rsidRPr="00AA745A">
              <w:rPr>
                <w:rFonts w:ascii="Arial" w:hAnsi="Arial" w:cs="Arial"/>
                <w:b/>
                <w:sz w:val="20"/>
                <w:szCs w:val="20"/>
              </w:rPr>
              <w:t>Variable Description</w:t>
            </w:r>
          </w:p>
        </w:tc>
      </w:tr>
      <w:tr w:rsidR="008E1A83" w14:paraId="66CC174C" w14:textId="77777777" w:rsidTr="00255FA2">
        <w:trPr>
          <w:jc w:val="center"/>
        </w:trPr>
        <w:tc>
          <w:tcPr>
            <w:tcW w:w="0" w:type="auto"/>
            <w:shd w:val="clear" w:color="auto" w:fill="auto"/>
            <w:vAlign w:val="center"/>
          </w:tcPr>
          <w:p w14:paraId="40678352"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Q</w:t>
            </w:r>
            <w:r w:rsidRPr="00AA745A">
              <w:rPr>
                <w:rFonts w:ascii="Arial" w:hAnsi="Arial" w:cs="Arial"/>
                <w:i/>
                <w:sz w:val="20"/>
                <w:szCs w:val="20"/>
                <w:vertAlign w:val="subscript"/>
              </w:rPr>
              <w:t>t</w:t>
            </w:r>
          </w:p>
        </w:tc>
        <w:tc>
          <w:tcPr>
            <w:tcW w:w="0" w:type="auto"/>
            <w:shd w:val="clear" w:color="auto" w:fill="auto"/>
            <w:vAlign w:val="center"/>
          </w:tcPr>
          <w:p w14:paraId="5E25AF8A"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the demand in hour </w:t>
            </w:r>
            <w:r w:rsidRPr="00AA745A">
              <w:rPr>
                <w:rFonts w:ascii="Arial" w:hAnsi="Arial" w:cs="Arial"/>
                <w:i/>
                <w:sz w:val="20"/>
                <w:szCs w:val="20"/>
              </w:rPr>
              <w:t>t</w:t>
            </w:r>
            <w:r w:rsidRPr="00AA745A">
              <w:rPr>
                <w:rFonts w:ascii="Arial" w:hAnsi="Arial" w:cs="Arial"/>
                <w:sz w:val="20"/>
                <w:szCs w:val="20"/>
              </w:rPr>
              <w:t xml:space="preserve"> for a customer enrolled in DBP prior to the last event date</w:t>
            </w:r>
          </w:p>
        </w:tc>
      </w:tr>
      <w:tr w:rsidR="008E1A83" w14:paraId="12DBF088" w14:textId="77777777" w:rsidTr="00255FA2">
        <w:trPr>
          <w:jc w:val="center"/>
        </w:trPr>
        <w:tc>
          <w:tcPr>
            <w:tcW w:w="0" w:type="auto"/>
            <w:shd w:val="clear" w:color="auto" w:fill="auto"/>
            <w:vAlign w:val="center"/>
          </w:tcPr>
          <w:p w14:paraId="3EA6BA77" w14:textId="77777777" w:rsidR="008E1A83" w:rsidRPr="00AA745A" w:rsidRDefault="008E1A83" w:rsidP="00255FA2">
            <w:pPr>
              <w:keepNext/>
              <w:keepLines/>
              <w:jc w:val="center"/>
              <w:rPr>
                <w:rFonts w:ascii="Arial" w:hAnsi="Arial" w:cs="Arial"/>
                <w:sz w:val="20"/>
                <w:szCs w:val="20"/>
              </w:rPr>
            </w:pPr>
            <w:r w:rsidRPr="00AA745A">
              <w:rPr>
                <w:rFonts w:ascii="Arial" w:hAnsi="Arial" w:cs="Arial"/>
                <w:sz w:val="20"/>
                <w:szCs w:val="20"/>
              </w:rPr>
              <w:t xml:space="preserve">The various </w:t>
            </w:r>
            <w:r w:rsidRPr="00AA745A">
              <w:rPr>
                <w:rFonts w:ascii="Arial" w:hAnsi="Arial" w:cs="Arial"/>
                <w:i/>
                <w:sz w:val="20"/>
                <w:szCs w:val="20"/>
              </w:rPr>
              <w:t>b</w:t>
            </w:r>
            <w:r w:rsidRPr="00AA745A">
              <w:rPr>
                <w:rFonts w:ascii="Arial" w:hAnsi="Arial" w:cs="Arial"/>
                <w:sz w:val="20"/>
                <w:szCs w:val="20"/>
              </w:rPr>
              <w:t xml:space="preserve">’s </w:t>
            </w:r>
          </w:p>
        </w:tc>
        <w:tc>
          <w:tcPr>
            <w:tcW w:w="0" w:type="auto"/>
            <w:shd w:val="clear" w:color="auto" w:fill="auto"/>
            <w:vAlign w:val="center"/>
          </w:tcPr>
          <w:p w14:paraId="1D4C4ABD"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the estimated parameters</w:t>
            </w:r>
          </w:p>
        </w:tc>
      </w:tr>
      <w:tr w:rsidR="008E1A83" w14:paraId="6C1032FE" w14:textId="77777777" w:rsidTr="00255FA2">
        <w:trPr>
          <w:jc w:val="center"/>
        </w:trPr>
        <w:tc>
          <w:tcPr>
            <w:tcW w:w="0" w:type="auto"/>
            <w:shd w:val="clear" w:color="auto" w:fill="auto"/>
            <w:vAlign w:val="center"/>
          </w:tcPr>
          <w:p w14:paraId="1AA749E8"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h</w:t>
            </w:r>
            <w:r w:rsidRPr="00AA745A">
              <w:rPr>
                <w:rFonts w:ascii="Arial" w:hAnsi="Arial" w:cs="Arial"/>
                <w:i/>
                <w:sz w:val="20"/>
                <w:szCs w:val="20"/>
                <w:vertAlign w:val="subscript"/>
              </w:rPr>
              <w:t>i,t</w:t>
            </w:r>
          </w:p>
        </w:tc>
        <w:tc>
          <w:tcPr>
            <w:tcW w:w="0" w:type="auto"/>
            <w:shd w:val="clear" w:color="auto" w:fill="auto"/>
            <w:vAlign w:val="center"/>
          </w:tcPr>
          <w:p w14:paraId="1ECAFB1C"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a dummy variable for hour </w:t>
            </w:r>
            <w:r w:rsidRPr="00AA745A">
              <w:rPr>
                <w:rFonts w:ascii="Arial" w:hAnsi="Arial" w:cs="Arial"/>
                <w:i/>
                <w:sz w:val="20"/>
                <w:szCs w:val="20"/>
              </w:rPr>
              <w:t>i</w:t>
            </w:r>
          </w:p>
        </w:tc>
      </w:tr>
      <w:tr w:rsidR="008E1A83" w14:paraId="072F14D6" w14:textId="77777777" w:rsidTr="00255FA2">
        <w:trPr>
          <w:jc w:val="center"/>
        </w:trPr>
        <w:tc>
          <w:tcPr>
            <w:tcW w:w="0" w:type="auto"/>
            <w:shd w:val="clear" w:color="auto" w:fill="auto"/>
            <w:vAlign w:val="center"/>
          </w:tcPr>
          <w:p w14:paraId="44812199" w14:textId="28C8E86B" w:rsidR="008E1A83" w:rsidRPr="00AA745A" w:rsidRDefault="008E1A83" w:rsidP="008E1A83">
            <w:pPr>
              <w:keepNext/>
              <w:keepLines/>
              <w:jc w:val="center"/>
              <w:rPr>
                <w:rFonts w:ascii="Arial" w:hAnsi="Arial" w:cs="Arial"/>
                <w:i/>
                <w:sz w:val="20"/>
                <w:szCs w:val="20"/>
              </w:rPr>
            </w:pPr>
            <w:r>
              <w:rPr>
                <w:rFonts w:ascii="Arial" w:hAnsi="Arial" w:cs="Arial"/>
                <w:i/>
                <w:sz w:val="20"/>
                <w:szCs w:val="20"/>
              </w:rPr>
              <w:t>D</w:t>
            </w:r>
            <w:r w:rsidRPr="00AA745A">
              <w:rPr>
                <w:rFonts w:ascii="Arial" w:hAnsi="Arial" w:cs="Arial"/>
                <w:i/>
                <w:sz w:val="20"/>
                <w:szCs w:val="20"/>
              </w:rPr>
              <w:t>BP</w:t>
            </w:r>
            <w:r w:rsidRPr="00AA745A">
              <w:rPr>
                <w:rFonts w:ascii="Arial" w:hAnsi="Arial" w:cs="Arial"/>
                <w:i/>
                <w:sz w:val="20"/>
                <w:szCs w:val="20"/>
                <w:vertAlign w:val="subscript"/>
              </w:rPr>
              <w:t>t</w:t>
            </w:r>
          </w:p>
        </w:tc>
        <w:tc>
          <w:tcPr>
            <w:tcW w:w="0" w:type="auto"/>
            <w:shd w:val="clear" w:color="auto" w:fill="auto"/>
            <w:vAlign w:val="center"/>
          </w:tcPr>
          <w:p w14:paraId="28F2D701"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an indicator variable for program event days</w:t>
            </w:r>
          </w:p>
        </w:tc>
      </w:tr>
      <w:tr w:rsidR="008E1A83" w14:paraId="0ADEC262" w14:textId="77777777" w:rsidTr="00255FA2">
        <w:trPr>
          <w:jc w:val="center"/>
        </w:trPr>
        <w:tc>
          <w:tcPr>
            <w:tcW w:w="0" w:type="auto"/>
            <w:shd w:val="clear" w:color="auto" w:fill="auto"/>
            <w:vAlign w:val="center"/>
          </w:tcPr>
          <w:p w14:paraId="343F168E" w14:textId="77777777" w:rsidR="008E1A83" w:rsidRPr="00AA745A" w:rsidRDefault="008E1A83" w:rsidP="00255FA2">
            <w:pPr>
              <w:keepNext/>
              <w:keepLines/>
              <w:jc w:val="center"/>
              <w:rPr>
                <w:rFonts w:ascii="Arial" w:hAnsi="Arial" w:cs="Arial"/>
                <w:i/>
                <w:sz w:val="20"/>
                <w:szCs w:val="20"/>
              </w:rPr>
            </w:pPr>
            <w:r w:rsidRPr="00AA745A">
              <w:rPr>
                <w:rFonts w:ascii="Arial" w:hAnsi="Arial" w:cs="Arial"/>
                <w:i/>
                <w:sz w:val="20"/>
                <w:szCs w:val="20"/>
              </w:rPr>
              <w:t>OtherEvt</w:t>
            </w:r>
            <w:r w:rsidRPr="00EB0348">
              <w:rPr>
                <w:rFonts w:ascii="Arial" w:hAnsi="Arial" w:cs="Arial"/>
                <w:i/>
                <w:sz w:val="20"/>
                <w:szCs w:val="20"/>
                <w:vertAlign w:val="superscript"/>
              </w:rPr>
              <w:t>DR</w:t>
            </w:r>
            <w:r w:rsidRPr="00AA745A">
              <w:rPr>
                <w:rFonts w:ascii="Arial" w:hAnsi="Arial" w:cs="Arial"/>
                <w:i/>
                <w:sz w:val="20"/>
                <w:szCs w:val="20"/>
                <w:vertAlign w:val="subscript"/>
              </w:rPr>
              <w:t>t</w:t>
            </w:r>
          </w:p>
        </w:tc>
        <w:tc>
          <w:tcPr>
            <w:tcW w:w="0" w:type="auto"/>
            <w:shd w:val="clear" w:color="auto" w:fill="auto"/>
            <w:vAlign w:val="center"/>
          </w:tcPr>
          <w:p w14:paraId="735123FE"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equals one on the event days of other demand response programs in which the customer is enrolled </w:t>
            </w:r>
          </w:p>
        </w:tc>
      </w:tr>
      <w:tr w:rsidR="008E1A83" w14:paraId="47ED8D16" w14:textId="77777777" w:rsidTr="00255FA2">
        <w:trPr>
          <w:jc w:val="center"/>
        </w:trPr>
        <w:tc>
          <w:tcPr>
            <w:tcW w:w="0" w:type="auto"/>
            <w:shd w:val="clear" w:color="auto" w:fill="auto"/>
            <w:vAlign w:val="center"/>
          </w:tcPr>
          <w:p w14:paraId="1ED3EDDD"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CDH</w:t>
            </w:r>
            <w:r w:rsidRPr="00AA745A">
              <w:rPr>
                <w:rFonts w:ascii="Arial" w:hAnsi="Arial" w:cs="Arial"/>
                <w:i/>
                <w:sz w:val="20"/>
                <w:szCs w:val="20"/>
                <w:vertAlign w:val="subscript"/>
              </w:rPr>
              <w:t>t</w:t>
            </w:r>
          </w:p>
        </w:tc>
        <w:tc>
          <w:tcPr>
            <w:tcW w:w="0" w:type="auto"/>
            <w:shd w:val="clear" w:color="auto" w:fill="auto"/>
            <w:vAlign w:val="center"/>
          </w:tcPr>
          <w:p w14:paraId="4358FCF8"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cooling degree hours </w:t>
            </w:r>
          </w:p>
        </w:tc>
      </w:tr>
      <w:tr w:rsidR="008E1A83" w14:paraId="2EECDBA4" w14:textId="77777777" w:rsidTr="00255FA2">
        <w:trPr>
          <w:jc w:val="center"/>
        </w:trPr>
        <w:tc>
          <w:tcPr>
            <w:tcW w:w="0" w:type="auto"/>
            <w:shd w:val="clear" w:color="auto" w:fill="auto"/>
            <w:vAlign w:val="center"/>
          </w:tcPr>
          <w:p w14:paraId="7F4A5A68" w14:textId="77777777" w:rsidR="008E1A83" w:rsidRPr="00AA745A" w:rsidRDefault="008E1A83" w:rsidP="00255FA2">
            <w:pPr>
              <w:keepNext/>
              <w:keepLines/>
              <w:jc w:val="center"/>
              <w:rPr>
                <w:rFonts w:ascii="Arial" w:hAnsi="Arial" w:cs="Arial"/>
                <w:i/>
                <w:sz w:val="20"/>
                <w:szCs w:val="20"/>
              </w:rPr>
            </w:pPr>
            <w:r w:rsidRPr="00AA745A">
              <w:rPr>
                <w:rFonts w:ascii="Arial" w:hAnsi="Arial" w:cs="Arial"/>
                <w:i/>
                <w:sz w:val="20"/>
                <w:szCs w:val="20"/>
              </w:rPr>
              <w:t>HDH</w:t>
            </w:r>
            <w:r w:rsidRPr="00AA745A">
              <w:rPr>
                <w:rFonts w:ascii="Arial" w:hAnsi="Arial" w:cs="Arial"/>
                <w:i/>
                <w:sz w:val="20"/>
                <w:szCs w:val="20"/>
                <w:vertAlign w:val="subscript"/>
              </w:rPr>
              <w:t>t</w:t>
            </w:r>
          </w:p>
        </w:tc>
        <w:tc>
          <w:tcPr>
            <w:tcW w:w="0" w:type="auto"/>
            <w:shd w:val="clear" w:color="auto" w:fill="auto"/>
            <w:vAlign w:val="center"/>
          </w:tcPr>
          <w:p w14:paraId="627B4AAE"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heating degree hours</w:t>
            </w:r>
            <w:r w:rsidRPr="00AA745A">
              <w:rPr>
                <w:rStyle w:val="FootnoteReference"/>
                <w:rFonts w:ascii="Arial" w:hAnsi="Arial" w:cs="Arial"/>
                <w:sz w:val="20"/>
                <w:szCs w:val="20"/>
              </w:rPr>
              <w:footnoteReference w:id="12"/>
            </w:r>
          </w:p>
        </w:tc>
      </w:tr>
      <w:tr w:rsidR="008E1A83" w14:paraId="305B10EC" w14:textId="77777777" w:rsidTr="00255FA2">
        <w:trPr>
          <w:jc w:val="center"/>
        </w:trPr>
        <w:tc>
          <w:tcPr>
            <w:tcW w:w="0" w:type="auto"/>
            <w:shd w:val="clear" w:color="auto" w:fill="auto"/>
            <w:vAlign w:val="center"/>
          </w:tcPr>
          <w:p w14:paraId="4FB2E1AB" w14:textId="77777777" w:rsidR="008E1A83" w:rsidRPr="00AA745A" w:rsidRDefault="008E1A83" w:rsidP="00255FA2">
            <w:pPr>
              <w:keepNext/>
              <w:keepLines/>
              <w:jc w:val="center"/>
              <w:rPr>
                <w:rFonts w:ascii="Arial" w:hAnsi="Arial" w:cs="Arial"/>
                <w:sz w:val="20"/>
                <w:szCs w:val="20"/>
              </w:rPr>
            </w:pPr>
            <w:smartTag w:uri="urn:schemas-microsoft-com:office:smarttags" w:element="place">
              <w:smartTag w:uri="urn:schemas-microsoft-com:office:smarttags" w:element="State">
                <w:r w:rsidRPr="00AA745A">
                  <w:rPr>
                    <w:rFonts w:ascii="Arial" w:hAnsi="Arial" w:cs="Arial"/>
                    <w:i/>
                    <w:sz w:val="20"/>
                    <w:szCs w:val="20"/>
                  </w:rPr>
                  <w:t>MON</w:t>
                </w:r>
                <w:r w:rsidRPr="00AA745A">
                  <w:rPr>
                    <w:rFonts w:ascii="Arial" w:hAnsi="Arial" w:cs="Arial"/>
                    <w:i/>
                    <w:sz w:val="20"/>
                    <w:szCs w:val="20"/>
                    <w:vertAlign w:val="subscript"/>
                  </w:rPr>
                  <w:t>t</w:t>
                </w:r>
              </w:smartTag>
            </w:smartTag>
          </w:p>
        </w:tc>
        <w:tc>
          <w:tcPr>
            <w:tcW w:w="0" w:type="auto"/>
            <w:shd w:val="clear" w:color="auto" w:fill="auto"/>
            <w:vAlign w:val="center"/>
          </w:tcPr>
          <w:p w14:paraId="1C8834B7"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a dummy variable for Monday </w:t>
            </w:r>
          </w:p>
        </w:tc>
      </w:tr>
      <w:tr w:rsidR="008E1A83" w14:paraId="5C8CEA76" w14:textId="77777777" w:rsidTr="00255FA2">
        <w:trPr>
          <w:jc w:val="center"/>
        </w:trPr>
        <w:tc>
          <w:tcPr>
            <w:tcW w:w="0" w:type="auto"/>
            <w:shd w:val="clear" w:color="auto" w:fill="auto"/>
            <w:vAlign w:val="center"/>
          </w:tcPr>
          <w:p w14:paraId="30A4E94E"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FRI</w:t>
            </w:r>
            <w:r w:rsidRPr="00AA745A">
              <w:rPr>
                <w:rFonts w:ascii="Arial" w:hAnsi="Arial" w:cs="Arial"/>
                <w:i/>
                <w:sz w:val="20"/>
                <w:szCs w:val="20"/>
                <w:vertAlign w:val="subscript"/>
              </w:rPr>
              <w:t>t</w:t>
            </w:r>
          </w:p>
        </w:tc>
        <w:tc>
          <w:tcPr>
            <w:tcW w:w="0" w:type="auto"/>
            <w:shd w:val="clear" w:color="auto" w:fill="auto"/>
            <w:vAlign w:val="center"/>
          </w:tcPr>
          <w:p w14:paraId="41971852"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a dummy variable for Friday </w:t>
            </w:r>
          </w:p>
        </w:tc>
      </w:tr>
      <w:tr w:rsidR="008E1A83" w14:paraId="4F3C55E4" w14:textId="77777777" w:rsidTr="00255FA2">
        <w:trPr>
          <w:jc w:val="center"/>
        </w:trPr>
        <w:tc>
          <w:tcPr>
            <w:tcW w:w="0" w:type="auto"/>
            <w:shd w:val="clear" w:color="auto" w:fill="auto"/>
            <w:vAlign w:val="center"/>
          </w:tcPr>
          <w:p w14:paraId="250BA78E"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DTYPE</w:t>
            </w:r>
            <w:r w:rsidRPr="00AA745A">
              <w:rPr>
                <w:rFonts w:ascii="Arial" w:hAnsi="Arial" w:cs="Arial"/>
                <w:i/>
                <w:sz w:val="20"/>
                <w:szCs w:val="20"/>
                <w:vertAlign w:val="subscript"/>
              </w:rPr>
              <w:t>i,t</w:t>
            </w:r>
          </w:p>
        </w:tc>
        <w:tc>
          <w:tcPr>
            <w:tcW w:w="0" w:type="auto"/>
            <w:shd w:val="clear" w:color="auto" w:fill="auto"/>
            <w:vAlign w:val="center"/>
          </w:tcPr>
          <w:p w14:paraId="4B27C1A3"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a series of dummy variables for each day of the week</w:t>
            </w:r>
          </w:p>
        </w:tc>
      </w:tr>
      <w:tr w:rsidR="008E1A83" w14:paraId="40B8E98D" w14:textId="77777777" w:rsidTr="00255FA2">
        <w:trPr>
          <w:jc w:val="center"/>
        </w:trPr>
        <w:tc>
          <w:tcPr>
            <w:tcW w:w="0" w:type="auto"/>
            <w:shd w:val="clear" w:color="auto" w:fill="auto"/>
            <w:vAlign w:val="center"/>
          </w:tcPr>
          <w:p w14:paraId="58B7F733"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MONTH</w:t>
            </w:r>
            <w:r w:rsidRPr="00AA745A">
              <w:rPr>
                <w:rFonts w:ascii="Arial" w:hAnsi="Arial" w:cs="Arial"/>
                <w:i/>
                <w:sz w:val="20"/>
                <w:szCs w:val="20"/>
                <w:vertAlign w:val="subscript"/>
              </w:rPr>
              <w:t>i,t</w:t>
            </w:r>
          </w:p>
        </w:tc>
        <w:tc>
          <w:tcPr>
            <w:tcW w:w="0" w:type="auto"/>
            <w:shd w:val="clear" w:color="auto" w:fill="auto"/>
            <w:vAlign w:val="center"/>
          </w:tcPr>
          <w:p w14:paraId="24934488"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 xml:space="preserve">a series of dummy variables for each month </w:t>
            </w:r>
          </w:p>
        </w:tc>
      </w:tr>
      <w:tr w:rsidR="008E1A83" w14:paraId="3EF8506C" w14:textId="77777777" w:rsidTr="00255FA2">
        <w:trPr>
          <w:jc w:val="center"/>
        </w:trPr>
        <w:tc>
          <w:tcPr>
            <w:tcW w:w="0" w:type="auto"/>
            <w:shd w:val="clear" w:color="auto" w:fill="auto"/>
            <w:vAlign w:val="center"/>
          </w:tcPr>
          <w:p w14:paraId="10E49F64" w14:textId="77777777" w:rsidR="008E1A83" w:rsidRPr="00AA745A" w:rsidRDefault="008E1A83" w:rsidP="00255FA2">
            <w:pPr>
              <w:keepNext/>
              <w:keepLines/>
              <w:jc w:val="center"/>
              <w:rPr>
                <w:rFonts w:ascii="Arial" w:hAnsi="Arial" w:cs="Arial"/>
                <w:sz w:val="20"/>
                <w:szCs w:val="20"/>
              </w:rPr>
            </w:pPr>
            <w:r w:rsidRPr="00AA745A">
              <w:rPr>
                <w:rFonts w:ascii="Arial" w:hAnsi="Arial" w:cs="Arial"/>
                <w:i/>
                <w:sz w:val="20"/>
                <w:szCs w:val="20"/>
              </w:rPr>
              <w:t>e</w:t>
            </w:r>
            <w:r w:rsidRPr="00AA745A">
              <w:rPr>
                <w:rFonts w:ascii="Arial" w:hAnsi="Arial" w:cs="Arial"/>
                <w:i/>
                <w:sz w:val="20"/>
                <w:szCs w:val="20"/>
                <w:vertAlign w:val="subscript"/>
              </w:rPr>
              <w:t>t</w:t>
            </w:r>
          </w:p>
        </w:tc>
        <w:tc>
          <w:tcPr>
            <w:tcW w:w="0" w:type="auto"/>
            <w:shd w:val="clear" w:color="auto" w:fill="auto"/>
            <w:vAlign w:val="center"/>
          </w:tcPr>
          <w:p w14:paraId="2DC378A6" w14:textId="77777777" w:rsidR="008E1A83" w:rsidRPr="00AA745A" w:rsidRDefault="008E1A83" w:rsidP="00255FA2">
            <w:pPr>
              <w:keepNext/>
              <w:keepLines/>
              <w:rPr>
                <w:rFonts w:ascii="Arial" w:hAnsi="Arial" w:cs="Arial"/>
                <w:sz w:val="20"/>
                <w:szCs w:val="20"/>
              </w:rPr>
            </w:pPr>
            <w:r w:rsidRPr="00AA745A">
              <w:rPr>
                <w:rFonts w:ascii="Arial" w:hAnsi="Arial" w:cs="Arial"/>
                <w:sz w:val="20"/>
                <w:szCs w:val="20"/>
              </w:rPr>
              <w:t>the error term.</w:t>
            </w:r>
          </w:p>
        </w:tc>
      </w:tr>
    </w:tbl>
    <w:p w14:paraId="57320A16" w14:textId="77777777" w:rsidR="008E1A83" w:rsidRDefault="008E1A83" w:rsidP="008E1A83"/>
    <w:p w14:paraId="60A72792" w14:textId="43D6B83B" w:rsidR="00AC2B22" w:rsidRDefault="00AC2B22" w:rsidP="00AC2B22">
      <w:r>
        <w:t xml:space="preserve">Once these models were estimated, we simulated 24-hour load profiles for each required scenario. The typical event day was assumed to occur in August. Much of the differences across scenarios can be attributed to varying weather conditions. </w:t>
      </w:r>
      <w:r w:rsidR="00B521FC">
        <w:t xml:space="preserve">This is the first program year in which the evaluation includes two sets of 1-in-2 and 1-in-10 weather years. The sets are differentiated according to whether they correspond to utility-specific conditions or CAISO-coincident conditions. The weather conditions used in prior evaluations corresponded to the utility-specific scenarios. All of the weather scenarios (including the utility-specific scenarios) were newly generated in a separate project as part of this year’s evaluation process.  </w:t>
      </w:r>
    </w:p>
    <w:p w14:paraId="07A5FA0A" w14:textId="77777777" w:rsidR="00AC2B22" w:rsidRDefault="00AC2B22" w:rsidP="00AC2B22"/>
    <w:p w14:paraId="0575F7A0" w14:textId="77777777" w:rsidR="00AC2B22" w:rsidRDefault="00AC2B22" w:rsidP="00AC2B22">
      <w:pPr>
        <w:numPr>
          <w:ilvl w:val="0"/>
          <w:numId w:val="11"/>
        </w:numPr>
      </w:pPr>
      <w:r w:rsidRPr="00AA5190">
        <w:rPr>
          <w:i/>
        </w:rPr>
        <w:t>Calculate</w:t>
      </w:r>
      <w:r>
        <w:rPr>
          <w:i/>
        </w:rPr>
        <w:t xml:space="preserve"> forecast</w:t>
      </w:r>
      <w:r w:rsidRPr="00AA5190">
        <w:rPr>
          <w:i/>
        </w:rPr>
        <w:t xml:space="preserve"> percentage load impacts</w:t>
      </w:r>
    </w:p>
    <w:p w14:paraId="19A96C20" w14:textId="0F82B9DD" w:rsidR="00AC2B22" w:rsidRDefault="00AC2B22" w:rsidP="00AC2B22">
      <w:r>
        <w:t xml:space="preserve">For both PG&amp;E and SCE, the percentage load impacts were based on </w:t>
      </w:r>
      <w:r w:rsidR="00933F01" w:rsidRPr="00933F01">
        <w:rPr>
          <w:i/>
        </w:rPr>
        <w:t>ex-post</w:t>
      </w:r>
      <w:r>
        <w:t xml:space="preserve"> load impact estimates program years 201</w:t>
      </w:r>
      <w:r w:rsidR="00B521FC">
        <w:t>2</w:t>
      </w:r>
      <w:r>
        <w:t xml:space="preserve"> through 201</w:t>
      </w:r>
      <w:r w:rsidR="00B521FC">
        <w:t>4</w:t>
      </w:r>
      <w:r>
        <w:t xml:space="preserve">. </w:t>
      </w:r>
      <w:r w:rsidR="00B521FC">
        <w:t>SDG&amp;E use</w:t>
      </w:r>
      <w:r w:rsidR="00C069AD">
        <w:t>d</w:t>
      </w:r>
      <w:r w:rsidR="00B521FC">
        <w:t xml:space="preserve"> only 2013 and 2014, as the program did not exist in 2012. </w:t>
      </w:r>
      <w:r>
        <w:t>Specifically, we examined only customers enrolled in PY201</w:t>
      </w:r>
      <w:r w:rsidR="00B521FC">
        <w:t>4</w:t>
      </w:r>
      <w:r>
        <w:t>, but included load impact estimates from the previous two program years for the PY 201</w:t>
      </w:r>
      <w:r w:rsidR="00B521FC">
        <w:t>4</w:t>
      </w:r>
      <w:r>
        <w:t xml:space="preserve"> program participants that also participated in the program in 201</w:t>
      </w:r>
      <w:r w:rsidR="00B521FC">
        <w:t>2</w:t>
      </w:r>
      <w:r>
        <w:t xml:space="preserve"> and 201</w:t>
      </w:r>
      <w:r w:rsidR="00B521FC">
        <w:t>3</w:t>
      </w:r>
      <w:r>
        <w:t xml:space="preserve">. This method allowed us to base the </w:t>
      </w:r>
      <w:r w:rsidR="00933F01" w:rsidRPr="00933F01">
        <w:rPr>
          <w:i/>
        </w:rPr>
        <w:t>ex-ante</w:t>
      </w:r>
      <w:r>
        <w:t xml:space="preserve"> load impacts on a larger sample of events, which helps improve the reliability and consistency of the load impacts across forecasts.</w:t>
      </w:r>
    </w:p>
    <w:p w14:paraId="13A5C78B" w14:textId="77777777" w:rsidR="00AC2B22" w:rsidRDefault="00AC2B22" w:rsidP="00AC2B22"/>
    <w:p w14:paraId="59E4D0A6" w14:textId="7F9FD1EA" w:rsidR="00AC2B22" w:rsidRDefault="00AC2B22" w:rsidP="00AC2B22">
      <w:r>
        <w:t xml:space="preserve">For each service account, we collect the hourly </w:t>
      </w:r>
      <w:r w:rsidR="00933F01" w:rsidRPr="00933F01">
        <w:rPr>
          <w:i/>
        </w:rPr>
        <w:t>ex-post</w:t>
      </w:r>
      <w:r>
        <w:t xml:space="preserve"> load impact estimates and observed loads for every event available from PY1</w:t>
      </w:r>
      <w:r w:rsidR="00B521FC">
        <w:t>2</w:t>
      </w:r>
      <w:r>
        <w:t xml:space="preserve"> through PY1</w:t>
      </w:r>
      <w:r w:rsidR="00B521FC">
        <w:t>4</w:t>
      </w:r>
      <w:r>
        <w:t xml:space="preserve">. Within </w:t>
      </w:r>
      <w:r w:rsidR="00C069AD">
        <w:t xml:space="preserve">each </w:t>
      </w:r>
      <w:r>
        <w:t>service account, we then calculate</w:t>
      </w:r>
      <w:r w:rsidR="00C069AD">
        <w:t>d</w:t>
      </w:r>
      <w:r>
        <w:t xml:space="preserve"> the average hourly load impact and observed load profile, as well as the variance of the each hour’s load impact across the event days. The average load impacts and their associated variances are converted to percentages by dividing them into the customer’s average </w:t>
      </w:r>
      <w:r w:rsidR="00933F01" w:rsidRPr="00933F01">
        <w:rPr>
          <w:i/>
        </w:rPr>
        <w:t>ex-post</w:t>
      </w:r>
      <w:r>
        <w:t xml:space="preserve"> reference load for the corresponding hour. These percentages are applied to the customer’s </w:t>
      </w:r>
      <w:r w:rsidR="00933F01" w:rsidRPr="00933F01">
        <w:rPr>
          <w:i/>
        </w:rPr>
        <w:t>ex-ante</w:t>
      </w:r>
      <w:r>
        <w:t xml:space="preserve"> (forecast) reference load for each required scenario (e.g., the August peak month day during a </w:t>
      </w:r>
      <w:r w:rsidR="00B521FC">
        <w:t xml:space="preserve">utility-specific </w:t>
      </w:r>
      <w:r>
        <w:t>1-in-2 weather year).</w:t>
      </w:r>
    </w:p>
    <w:p w14:paraId="3A255023" w14:textId="77777777" w:rsidR="00AC2B22" w:rsidRDefault="00AC2B22" w:rsidP="00AC2B22"/>
    <w:p w14:paraId="448034C4" w14:textId="57AD2623" w:rsidR="00AC2B22" w:rsidRDefault="00AC2B22" w:rsidP="00AC2B22">
      <w:r>
        <w:t xml:space="preserve">From these customer-level forecasts of reference loads and load impacts, we form results for any given sub-group of customers (e.g., customers over 200 kW in the Greater Bay Area, who are not dually enrolled in BIP or an aggregator program), by summing the reference loads and load impacts across the relevant customers. </w:t>
      </w:r>
    </w:p>
    <w:p w14:paraId="05752C2E" w14:textId="77777777" w:rsidR="00AC2B22" w:rsidRDefault="00AC2B22" w:rsidP="00AC2B22"/>
    <w:p w14:paraId="7B2CA68A" w14:textId="73ADCEC7" w:rsidR="00AC2B22" w:rsidRDefault="00AC2B22" w:rsidP="00AC2B22">
      <w:r>
        <w:t xml:space="preserve">Because the forecast event window (1:00 to 6:00 p.m. in April through October; and 4:00 to 9:00 p.m. in all other months) differs from the historical event window (Noon to 6:00 p.m.), we needed to adjust the historical percentage load impacts for use in the </w:t>
      </w:r>
      <w:r w:rsidR="00933F01" w:rsidRPr="00933F01">
        <w:rPr>
          <w:i/>
        </w:rPr>
        <w:t>ex-ante</w:t>
      </w:r>
      <w:r w:rsidRPr="004C2D19">
        <w:t xml:space="preserve"> study. Specifically, in summer months, we </w:t>
      </w:r>
      <w:r>
        <w:t xml:space="preserve">adapted the 8-hour historical event window to the 5-hour forecast event window using the correspondence shown in Table 5.2. </w:t>
      </w:r>
    </w:p>
    <w:p w14:paraId="7AFE076C" w14:textId="77777777" w:rsidR="00AC2B22" w:rsidRDefault="00AC2B22" w:rsidP="00AC2B22"/>
    <w:p w14:paraId="7E6FADD8" w14:textId="27B24C90" w:rsidR="00AC2B22" w:rsidRPr="00852320" w:rsidRDefault="00AC2B22" w:rsidP="00AC2B22">
      <w:pPr>
        <w:pStyle w:val="TableCaption"/>
        <w:keepNext/>
        <w:keepLines/>
      </w:pPr>
      <w:bookmarkStart w:id="187" w:name="_Toc383598012"/>
      <w:bookmarkStart w:id="188" w:name="_Toc415761891"/>
      <w:r w:rsidRPr="00852320">
        <w:t xml:space="preserve">Table </w:t>
      </w:r>
      <w:r>
        <w:t>5</w:t>
      </w:r>
      <w:r w:rsidRPr="00852320">
        <w:t>.</w:t>
      </w:r>
      <w:r>
        <w:t>2</w:t>
      </w:r>
      <w:r w:rsidRPr="00852320">
        <w:t xml:space="preserve">: Method of Adapting the </w:t>
      </w:r>
      <w:r w:rsidR="00933F01" w:rsidRPr="00933F01">
        <w:rPr>
          <w:i/>
        </w:rPr>
        <w:t>Ex-post</w:t>
      </w:r>
      <w:r w:rsidRPr="00852320">
        <w:t xml:space="preserve"> Event Window to the </w:t>
      </w:r>
      <w:r w:rsidR="00933F01" w:rsidRPr="00933F01">
        <w:rPr>
          <w:i/>
        </w:rPr>
        <w:t>Ex-ante</w:t>
      </w:r>
      <w:r w:rsidRPr="00852320">
        <w:t xml:space="preserve"> Window</w:t>
      </w:r>
      <w:r>
        <w:t xml:space="preserve">, </w:t>
      </w:r>
      <w:r w:rsidRPr="006F24DA">
        <w:rPr>
          <w:i/>
        </w:rPr>
        <w:t>PG&amp;E and SCE</w:t>
      </w:r>
      <w:bookmarkEnd w:id="187"/>
      <w:bookmarkEnd w:id="1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tblGrid>
      <w:tr w:rsidR="00AC2B22" w14:paraId="4688077C" w14:textId="77777777" w:rsidTr="00AC2B22">
        <w:trPr>
          <w:jc w:val="center"/>
        </w:trPr>
        <w:tc>
          <w:tcPr>
            <w:tcW w:w="1771" w:type="dxa"/>
            <w:shd w:val="clear" w:color="auto" w:fill="D9E2F3"/>
          </w:tcPr>
          <w:p w14:paraId="1D6D422A" w14:textId="6FC72E19" w:rsidR="00AC2B22" w:rsidRPr="00AA745A" w:rsidRDefault="00933F01" w:rsidP="00AC2B22">
            <w:pPr>
              <w:keepNext/>
              <w:keepLines/>
              <w:jc w:val="center"/>
              <w:rPr>
                <w:b/>
              </w:rPr>
            </w:pPr>
            <w:r w:rsidRPr="00933F01">
              <w:rPr>
                <w:b/>
                <w:i/>
              </w:rPr>
              <w:t>Ex-ante</w:t>
            </w:r>
            <w:r w:rsidR="00AC2B22" w:rsidRPr="00AA745A">
              <w:rPr>
                <w:b/>
              </w:rPr>
              <w:t xml:space="preserve"> Hour</w:t>
            </w:r>
          </w:p>
        </w:tc>
        <w:tc>
          <w:tcPr>
            <w:tcW w:w="1771" w:type="dxa"/>
            <w:shd w:val="clear" w:color="auto" w:fill="D9E2F3"/>
          </w:tcPr>
          <w:p w14:paraId="03900121" w14:textId="3D582DEC" w:rsidR="00AC2B22" w:rsidRPr="00AA745A" w:rsidRDefault="00933F01" w:rsidP="00AC2B22">
            <w:pPr>
              <w:keepNext/>
              <w:keepLines/>
              <w:jc w:val="center"/>
              <w:rPr>
                <w:b/>
              </w:rPr>
            </w:pPr>
            <w:r w:rsidRPr="00933F01">
              <w:rPr>
                <w:b/>
                <w:i/>
              </w:rPr>
              <w:t>Ex-post</w:t>
            </w:r>
            <w:r w:rsidR="00AC2B22" w:rsidRPr="00AA745A">
              <w:rPr>
                <w:b/>
              </w:rPr>
              <w:t xml:space="preserve"> Hour(s)</w:t>
            </w:r>
          </w:p>
        </w:tc>
      </w:tr>
      <w:tr w:rsidR="00AC2B22" w14:paraId="71D03D82" w14:textId="77777777" w:rsidTr="00AC2B22">
        <w:trPr>
          <w:jc w:val="center"/>
        </w:trPr>
        <w:tc>
          <w:tcPr>
            <w:tcW w:w="1771" w:type="dxa"/>
            <w:shd w:val="clear" w:color="auto" w:fill="auto"/>
          </w:tcPr>
          <w:p w14:paraId="6B93F83C" w14:textId="77777777" w:rsidR="00AC2B22" w:rsidRDefault="00AC2B22" w:rsidP="00AC2B22">
            <w:pPr>
              <w:keepNext/>
              <w:keepLines/>
              <w:jc w:val="center"/>
            </w:pPr>
            <w:r>
              <w:t>14</w:t>
            </w:r>
          </w:p>
        </w:tc>
        <w:tc>
          <w:tcPr>
            <w:tcW w:w="1771" w:type="dxa"/>
            <w:shd w:val="clear" w:color="auto" w:fill="auto"/>
          </w:tcPr>
          <w:p w14:paraId="26A70DFC" w14:textId="77777777" w:rsidR="00AC2B22" w:rsidRDefault="00AC2B22" w:rsidP="00AC2B22">
            <w:pPr>
              <w:keepNext/>
              <w:keepLines/>
              <w:jc w:val="center"/>
            </w:pPr>
            <w:r>
              <w:t>13</w:t>
            </w:r>
          </w:p>
        </w:tc>
      </w:tr>
      <w:tr w:rsidR="00AC2B22" w14:paraId="6362FFF4" w14:textId="77777777" w:rsidTr="00AC2B22">
        <w:trPr>
          <w:jc w:val="center"/>
        </w:trPr>
        <w:tc>
          <w:tcPr>
            <w:tcW w:w="1771" w:type="dxa"/>
            <w:shd w:val="clear" w:color="auto" w:fill="auto"/>
          </w:tcPr>
          <w:p w14:paraId="5CD49092" w14:textId="77777777" w:rsidR="00AC2B22" w:rsidRDefault="00AC2B22" w:rsidP="00AC2B22">
            <w:pPr>
              <w:keepNext/>
              <w:keepLines/>
              <w:jc w:val="center"/>
            </w:pPr>
            <w:r>
              <w:t>15</w:t>
            </w:r>
          </w:p>
        </w:tc>
        <w:tc>
          <w:tcPr>
            <w:tcW w:w="1771" w:type="dxa"/>
            <w:shd w:val="clear" w:color="auto" w:fill="auto"/>
          </w:tcPr>
          <w:p w14:paraId="61BB240D" w14:textId="77777777" w:rsidR="00AC2B22" w:rsidRDefault="00AC2B22" w:rsidP="00AC2B22">
            <w:pPr>
              <w:keepNext/>
              <w:keepLines/>
              <w:jc w:val="center"/>
            </w:pPr>
            <w:r>
              <w:t>14, 15</w:t>
            </w:r>
          </w:p>
        </w:tc>
      </w:tr>
      <w:tr w:rsidR="00AC2B22" w14:paraId="4323635F" w14:textId="77777777" w:rsidTr="00AC2B22">
        <w:trPr>
          <w:jc w:val="center"/>
        </w:trPr>
        <w:tc>
          <w:tcPr>
            <w:tcW w:w="1771" w:type="dxa"/>
            <w:shd w:val="clear" w:color="auto" w:fill="auto"/>
          </w:tcPr>
          <w:p w14:paraId="68022FCB" w14:textId="77777777" w:rsidR="00AC2B22" w:rsidRDefault="00AC2B22" w:rsidP="00AC2B22">
            <w:pPr>
              <w:keepNext/>
              <w:keepLines/>
              <w:jc w:val="center"/>
            </w:pPr>
            <w:r>
              <w:t>16</w:t>
            </w:r>
          </w:p>
        </w:tc>
        <w:tc>
          <w:tcPr>
            <w:tcW w:w="1771" w:type="dxa"/>
            <w:shd w:val="clear" w:color="auto" w:fill="auto"/>
          </w:tcPr>
          <w:p w14:paraId="36F07E20" w14:textId="77777777" w:rsidR="00AC2B22" w:rsidRDefault="00AC2B22" w:rsidP="00AC2B22">
            <w:pPr>
              <w:keepNext/>
              <w:keepLines/>
              <w:jc w:val="center"/>
            </w:pPr>
            <w:r>
              <w:t>16, 17</w:t>
            </w:r>
          </w:p>
        </w:tc>
      </w:tr>
      <w:tr w:rsidR="00AC2B22" w14:paraId="14B67707" w14:textId="77777777" w:rsidTr="00AC2B22">
        <w:trPr>
          <w:jc w:val="center"/>
        </w:trPr>
        <w:tc>
          <w:tcPr>
            <w:tcW w:w="1771" w:type="dxa"/>
            <w:shd w:val="clear" w:color="auto" w:fill="auto"/>
          </w:tcPr>
          <w:p w14:paraId="3FA813DF" w14:textId="77777777" w:rsidR="00AC2B22" w:rsidRDefault="00AC2B22" w:rsidP="00AC2B22">
            <w:pPr>
              <w:keepNext/>
              <w:keepLines/>
              <w:jc w:val="center"/>
            </w:pPr>
            <w:r>
              <w:t>17</w:t>
            </w:r>
          </w:p>
        </w:tc>
        <w:tc>
          <w:tcPr>
            <w:tcW w:w="1771" w:type="dxa"/>
            <w:shd w:val="clear" w:color="auto" w:fill="auto"/>
          </w:tcPr>
          <w:p w14:paraId="2E0F1C1E" w14:textId="77777777" w:rsidR="00AC2B22" w:rsidRDefault="00AC2B22" w:rsidP="00AC2B22">
            <w:pPr>
              <w:keepNext/>
              <w:keepLines/>
              <w:jc w:val="center"/>
            </w:pPr>
            <w:r>
              <w:t>18, 19</w:t>
            </w:r>
          </w:p>
        </w:tc>
      </w:tr>
      <w:tr w:rsidR="00AC2B22" w14:paraId="3DAB2630" w14:textId="77777777" w:rsidTr="00AC2B22">
        <w:trPr>
          <w:jc w:val="center"/>
        </w:trPr>
        <w:tc>
          <w:tcPr>
            <w:tcW w:w="1771" w:type="dxa"/>
            <w:shd w:val="clear" w:color="auto" w:fill="auto"/>
          </w:tcPr>
          <w:p w14:paraId="37011000" w14:textId="77777777" w:rsidR="00AC2B22" w:rsidRDefault="00AC2B22" w:rsidP="00AC2B22">
            <w:pPr>
              <w:keepNext/>
              <w:keepLines/>
              <w:jc w:val="center"/>
            </w:pPr>
            <w:r>
              <w:t>18</w:t>
            </w:r>
          </w:p>
        </w:tc>
        <w:tc>
          <w:tcPr>
            <w:tcW w:w="1771" w:type="dxa"/>
            <w:shd w:val="clear" w:color="auto" w:fill="auto"/>
          </w:tcPr>
          <w:p w14:paraId="3ECF9C47" w14:textId="77777777" w:rsidR="00AC2B22" w:rsidRDefault="00AC2B22" w:rsidP="00AC2B22">
            <w:pPr>
              <w:keepNext/>
              <w:keepLines/>
              <w:jc w:val="center"/>
            </w:pPr>
            <w:r>
              <w:t>20</w:t>
            </w:r>
          </w:p>
        </w:tc>
      </w:tr>
    </w:tbl>
    <w:p w14:paraId="69E4C378" w14:textId="77777777" w:rsidR="00AC2B22" w:rsidRDefault="00AC2B22" w:rsidP="00AC2B22"/>
    <w:p w14:paraId="082BD01A" w14:textId="77777777" w:rsidR="00AC2B22" w:rsidRDefault="00AC2B22" w:rsidP="00AC2B22">
      <w:r w:rsidRPr="004C2D19">
        <w:lastRenderedPageBreak/>
        <w:t>For the non-summer months, the summer hourly percentage load impacts were shifted forward three hours, so that the event hours matched the required 4:00 to 9:00 p.m. window.</w:t>
      </w:r>
      <w:r>
        <w:t xml:space="preserve">  </w:t>
      </w:r>
    </w:p>
    <w:p w14:paraId="13DB3271" w14:textId="77777777" w:rsidR="00AC2B22" w:rsidRDefault="00AC2B22" w:rsidP="00AC2B22"/>
    <w:p w14:paraId="5B2AC6FB" w14:textId="30AD55F8" w:rsidR="00AC2B22" w:rsidRDefault="00AC2B22" w:rsidP="00AC2B22">
      <w:r>
        <w:t>The uncertainty-adjusted load impacts (i.e., the 10</w:t>
      </w:r>
      <w:r w:rsidRPr="00C87FDC">
        <w:rPr>
          <w:vertAlign w:val="superscript"/>
        </w:rPr>
        <w:t>th</w:t>
      </w:r>
      <w:r>
        <w:t>, 30</w:t>
      </w:r>
      <w:r w:rsidRPr="00C87FDC">
        <w:rPr>
          <w:vertAlign w:val="superscript"/>
        </w:rPr>
        <w:t>th</w:t>
      </w:r>
      <w:r>
        <w:t>, 50</w:t>
      </w:r>
      <w:r w:rsidRPr="00C87FDC">
        <w:rPr>
          <w:vertAlign w:val="superscript"/>
        </w:rPr>
        <w:t>th</w:t>
      </w:r>
      <w:r>
        <w:t>, 70</w:t>
      </w:r>
      <w:r w:rsidRPr="00C87FDC">
        <w:rPr>
          <w:vertAlign w:val="superscript"/>
        </w:rPr>
        <w:t>th</w:t>
      </w:r>
      <w:r>
        <w:t>, and 90</w:t>
      </w:r>
      <w:r w:rsidRPr="00C87FDC">
        <w:rPr>
          <w:vertAlign w:val="superscript"/>
        </w:rPr>
        <w:t>th</w:t>
      </w:r>
      <w:r>
        <w:t xml:space="preserve"> percentile scenarios of load impacts) are based on the variability of each customer’s response across event days. That is, we calculate the standard deviation of each customer’s percentage load impact across the available event days. The square of this (i.e., the variance) is added across customers within each required subgroup. Each uncertainty-adjusted scenario was then calculated under the assumption that the load impacts are normally distributed with a mean equal to the total estimated load impact and a variance based on the variability of load impacts across event days.</w:t>
      </w:r>
      <w:r w:rsidR="00ED447E">
        <w:t xml:space="preserve"> For the average event hour, the variability of the load impacts across the scenarios is set to match the variability across the average of the individual event-hours.</w:t>
      </w:r>
    </w:p>
    <w:p w14:paraId="1320724A" w14:textId="77777777" w:rsidR="00AC2B22" w:rsidRDefault="00AC2B22" w:rsidP="00AC2B22"/>
    <w:p w14:paraId="5ECD31F6" w14:textId="77777777" w:rsidR="00AC2B22" w:rsidRDefault="00AC2B22" w:rsidP="00AC2B22">
      <w:pPr>
        <w:numPr>
          <w:ilvl w:val="0"/>
          <w:numId w:val="11"/>
        </w:numPr>
      </w:pPr>
      <w:r w:rsidRPr="003A5FB4">
        <w:rPr>
          <w:i/>
        </w:rPr>
        <w:t>Apply percentage load impacts to reference loads for each event scenario</w:t>
      </w:r>
      <w:r>
        <w:t xml:space="preserve">. </w:t>
      </w:r>
    </w:p>
    <w:p w14:paraId="0102833C" w14:textId="77777777" w:rsidR="00AC2B22" w:rsidRPr="005C35EB" w:rsidRDefault="00AC2B22" w:rsidP="00AC2B22">
      <w:r>
        <w:t xml:space="preserve">In this step, the percentage load impacts were applied to the reference loads for each scenario to produce all of the required reference loads, estimated event-day loads, and scenarios of load impacts. </w:t>
      </w:r>
      <w:r>
        <w:br/>
      </w:r>
    </w:p>
    <w:p w14:paraId="5871589B" w14:textId="77777777" w:rsidR="00AC2B22" w:rsidRDefault="00AC2B22" w:rsidP="00AC2B22">
      <w:pPr>
        <w:numPr>
          <w:ilvl w:val="0"/>
          <w:numId w:val="11"/>
        </w:numPr>
      </w:pPr>
      <w:r w:rsidRPr="00CA5D61">
        <w:rPr>
          <w:i/>
        </w:rPr>
        <w:t>Apply forecast enrollment</w:t>
      </w:r>
      <w:r>
        <w:rPr>
          <w:i/>
        </w:rPr>
        <w:t>s</w:t>
      </w:r>
      <w:r w:rsidRPr="00CA5D61">
        <w:rPr>
          <w:i/>
        </w:rPr>
        <w:t xml:space="preserve"> to produce program-level load impacts</w:t>
      </w:r>
      <w:r>
        <w:t xml:space="preserve">. </w:t>
      </w:r>
    </w:p>
    <w:p w14:paraId="0F611AEA" w14:textId="2611E996" w:rsidR="00AC2B22" w:rsidRDefault="00AC2B22" w:rsidP="00AC2B22">
      <w:r>
        <w:t xml:space="preserve">The </w:t>
      </w:r>
      <w:r w:rsidR="00C069AD">
        <w:t>IOUs</w:t>
      </w:r>
      <w:r>
        <w:t xml:space="preserve"> provided enrollment forecasts. PG&amp;E provided monthly enrollments through 202</w:t>
      </w:r>
      <w:r w:rsidR="00833C6C">
        <w:t>5</w:t>
      </w:r>
      <w:r>
        <w:t xml:space="preserve">, with separate enrollments provided at the program and portfolio level (the latter excludes dually enrolled customers) by LCA and size group. </w:t>
      </w:r>
      <w:r w:rsidRPr="00667174">
        <w:t>SCE provided monthly enrollments for 201</w:t>
      </w:r>
      <w:r w:rsidR="00833C6C" w:rsidRPr="00667174">
        <w:t>5</w:t>
      </w:r>
      <w:r w:rsidRPr="00667174">
        <w:t>, 201</w:t>
      </w:r>
      <w:r w:rsidR="00833C6C" w:rsidRPr="00667174">
        <w:t>6</w:t>
      </w:r>
      <w:r w:rsidRPr="00667174">
        <w:t>, and 201</w:t>
      </w:r>
      <w:r w:rsidR="00833C6C" w:rsidRPr="00667174">
        <w:t>7</w:t>
      </w:r>
      <w:r w:rsidRPr="00667174">
        <w:t>. We assume that the 201</w:t>
      </w:r>
      <w:r w:rsidR="00833C6C" w:rsidRPr="00667174">
        <w:t>7</w:t>
      </w:r>
      <w:r w:rsidRPr="00667174">
        <w:t xml:space="preserve"> enrollments apply through 202</w:t>
      </w:r>
      <w:r w:rsidR="00833C6C" w:rsidRPr="00667174">
        <w:t>5</w:t>
      </w:r>
      <w:r w:rsidRPr="00667174">
        <w:t>. In addition, SCE provided the list of service accounts that they expect to exclude beginning in 201</w:t>
      </w:r>
      <w:r w:rsidR="00667174" w:rsidRPr="00667174">
        <w:t>5</w:t>
      </w:r>
      <w:r w:rsidRPr="00667174">
        <w:t xml:space="preserve"> due to non-performance.</w:t>
      </w:r>
      <w:r w:rsidRPr="00CC5A6A">
        <w:t xml:space="preserve"> </w:t>
      </w:r>
      <w:r w:rsidR="00833C6C">
        <w:t xml:space="preserve">SDG&amp;E assumes that current enrollments persist through the end of the analysis period. </w:t>
      </w:r>
      <w:r w:rsidRPr="00CC5A6A">
        <w:t>The enrollments are then used to scale up the reference loads and load impacts for each required scenario and customer subgroup.</w:t>
      </w:r>
    </w:p>
    <w:p w14:paraId="1B523177" w14:textId="77777777" w:rsidR="00AC2B22" w:rsidRDefault="00AC2B22" w:rsidP="00AC2B22">
      <w:pPr>
        <w:pStyle w:val="Heading2"/>
      </w:pPr>
      <w:bookmarkStart w:id="189" w:name="_Toc227658382"/>
      <w:bookmarkStart w:id="190" w:name="_Toc252887015"/>
      <w:bookmarkStart w:id="191" w:name="_Toc254952722"/>
      <w:bookmarkStart w:id="192" w:name="_Toc257708627"/>
      <w:bookmarkStart w:id="193" w:name="_Toc289180094"/>
      <w:bookmarkStart w:id="194" w:name="_Toc326224657"/>
      <w:bookmarkStart w:id="195" w:name="_Toc383597945"/>
      <w:bookmarkStart w:id="196" w:name="_Toc415761840"/>
      <w:r>
        <w:t xml:space="preserve">5.3 </w:t>
      </w:r>
      <w:bookmarkEnd w:id="189"/>
      <w:bookmarkEnd w:id="190"/>
      <w:r w:rsidRPr="0077185C">
        <w:t>Enrollment Forecasts</w:t>
      </w:r>
      <w:bookmarkEnd w:id="191"/>
      <w:bookmarkEnd w:id="192"/>
      <w:bookmarkEnd w:id="193"/>
      <w:bookmarkEnd w:id="194"/>
      <w:bookmarkEnd w:id="195"/>
      <w:bookmarkEnd w:id="196"/>
    </w:p>
    <w:p w14:paraId="3B406D62" w14:textId="77777777" w:rsidR="00AC2B22" w:rsidRPr="000C0049" w:rsidRDefault="00AC2B22" w:rsidP="00AC2B22">
      <w:pPr>
        <w:rPr>
          <w:i/>
        </w:rPr>
      </w:pPr>
      <w:r w:rsidRPr="000C0049">
        <w:rPr>
          <w:i/>
        </w:rPr>
        <w:t>PG&amp;E</w:t>
      </w:r>
    </w:p>
    <w:p w14:paraId="31B1298F" w14:textId="57DAC070" w:rsidR="00AC2B22" w:rsidRDefault="00AC2B22" w:rsidP="00AC2B22">
      <w:r>
        <w:t>PG&amp;E forecasts DBP enrollments to remain constant from 201</w:t>
      </w:r>
      <w:r w:rsidR="00833C6C">
        <w:t>5</w:t>
      </w:r>
      <w:r>
        <w:t xml:space="preserve"> through 202</w:t>
      </w:r>
      <w:r w:rsidR="00833C6C">
        <w:t>5</w:t>
      </w:r>
      <w:r>
        <w:t xml:space="preserve">, with </w:t>
      </w:r>
      <w:r w:rsidR="00833C6C">
        <w:t>784</w:t>
      </w:r>
      <w:r>
        <w:t xml:space="preserve"> service accounts enrolled at the program level. Recall that the portfolio-level analysis excludes customers dually enrolled in </w:t>
      </w:r>
      <w:r w:rsidR="00C069AD">
        <w:t xml:space="preserve">the </w:t>
      </w:r>
      <w:r>
        <w:t>DBP and another DR program (e.g., BIP</w:t>
      </w:r>
      <w:r w:rsidR="00C069AD">
        <w:t>, AMP,</w:t>
      </w:r>
      <w:r>
        <w:t xml:space="preserve"> or CBP). Because </w:t>
      </w:r>
      <w:r w:rsidR="00C069AD">
        <w:t xml:space="preserve">the </w:t>
      </w:r>
      <w:r>
        <w:t xml:space="preserve">CBP </w:t>
      </w:r>
      <w:r w:rsidR="00C069AD">
        <w:t>and</w:t>
      </w:r>
      <w:r>
        <w:t xml:space="preserve"> AMP are summer-only programs, portfolio-level enrollments vary by season. PG&amp;E forecasts portfolio-level enrollments to be </w:t>
      </w:r>
      <w:r w:rsidR="00833C6C">
        <w:t>580</w:t>
      </w:r>
      <w:r>
        <w:t xml:space="preserve"> service accounts during the summer months and </w:t>
      </w:r>
      <w:r w:rsidR="00833C6C">
        <w:t>698</w:t>
      </w:r>
      <w:r>
        <w:t xml:space="preserve"> service accounts during non-summer months. </w:t>
      </w:r>
    </w:p>
    <w:p w14:paraId="74942E6F" w14:textId="77777777" w:rsidR="00AC2B22" w:rsidRPr="00AD1AB7" w:rsidRDefault="00AC2B22" w:rsidP="00AC2B22">
      <w:pPr>
        <w:keepNext/>
        <w:keepLines/>
      </w:pPr>
    </w:p>
    <w:p w14:paraId="73C65035" w14:textId="77777777" w:rsidR="00AC2B22" w:rsidRPr="00DD2161" w:rsidRDefault="00AC2B22" w:rsidP="00AC2B22">
      <w:pPr>
        <w:rPr>
          <w:i/>
        </w:rPr>
      </w:pPr>
      <w:r w:rsidRPr="00DD2161">
        <w:rPr>
          <w:i/>
        </w:rPr>
        <w:t>SCE</w:t>
      </w:r>
    </w:p>
    <w:p w14:paraId="46B65BA6" w14:textId="4545E224" w:rsidR="00AC2B22" w:rsidRDefault="0039387E" w:rsidP="00AC2B22">
      <w:bookmarkStart w:id="197" w:name="_Toc227658384"/>
      <w:bookmarkStart w:id="198" w:name="_Toc252887017"/>
      <w:bookmarkStart w:id="199" w:name="_Toc254952723"/>
      <w:bookmarkStart w:id="200" w:name="_Toc257708628"/>
      <w:bookmarkStart w:id="201" w:name="_Toc289180095"/>
      <w:bookmarkStart w:id="202" w:name="_Toc326224658"/>
      <w:r>
        <w:lastRenderedPageBreak/>
        <w:t>Figure 5.1</w:t>
      </w:r>
      <w:r w:rsidR="006855DF">
        <w:t xml:space="preserve"> shows SCE’s monthly forecast DBP enrollments from 2015 to 2017. The drop in enrollments that occurs in the early part of each year is due to SCE removing non-performing accounts.</w:t>
      </w:r>
    </w:p>
    <w:p w14:paraId="706EF231" w14:textId="77777777" w:rsidR="006855DF" w:rsidRDefault="006855DF" w:rsidP="00AC2B22"/>
    <w:p w14:paraId="6B4E34F7" w14:textId="77777777" w:rsidR="006855DF" w:rsidRDefault="006855DF" w:rsidP="00AC2B22"/>
    <w:p w14:paraId="3252C89D" w14:textId="04D96412" w:rsidR="006855DF" w:rsidRDefault="006855DF" w:rsidP="006855DF">
      <w:pPr>
        <w:pStyle w:val="FigureCaption"/>
        <w:keepNext/>
        <w:keepLines/>
      </w:pPr>
      <w:bookmarkStart w:id="203" w:name="_Toc415761919"/>
      <w:r>
        <w:t>Figure 5.1: SCE Forecast DBP Enrollments by Month</w:t>
      </w:r>
      <w:bookmarkEnd w:id="203"/>
    </w:p>
    <w:p w14:paraId="1F6179C9" w14:textId="60C1E963" w:rsidR="006855DF" w:rsidRDefault="006855DF" w:rsidP="006855DF">
      <w:pPr>
        <w:keepNext/>
        <w:keepLines/>
      </w:pPr>
      <w:r>
        <w:rPr>
          <w:noProof/>
        </w:rPr>
        <w:drawing>
          <wp:inline distT="0" distB="0" distL="0" distR="0" wp14:anchorId="0A236A9D" wp14:editId="709ACDA3">
            <wp:extent cx="5486400" cy="398145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CE703A1" w14:textId="77777777" w:rsidR="006855DF" w:rsidRDefault="006855DF" w:rsidP="00AC2B22"/>
    <w:p w14:paraId="372244C0" w14:textId="3EF4A750" w:rsidR="0039387E" w:rsidRPr="0039387E" w:rsidRDefault="0039387E" w:rsidP="00AC2B22"/>
    <w:p w14:paraId="5CE6C399" w14:textId="77777777" w:rsidR="00AC2B22" w:rsidRPr="00E51726" w:rsidRDefault="00AC2B22" w:rsidP="00AC2B22">
      <w:pPr>
        <w:rPr>
          <w:i/>
        </w:rPr>
      </w:pPr>
      <w:r w:rsidRPr="00E51726">
        <w:rPr>
          <w:i/>
        </w:rPr>
        <w:t>SDG&amp;E</w:t>
      </w:r>
    </w:p>
    <w:p w14:paraId="1BEAABB0" w14:textId="38B441E8" w:rsidR="00AC2B22" w:rsidRPr="00E51726" w:rsidRDefault="00AC2B22" w:rsidP="00AC2B22">
      <w:pPr>
        <w:rPr>
          <w:b/>
        </w:rPr>
      </w:pPr>
      <w:r>
        <w:t>We assumed that the currently enrolled customers continue to be enrolled in their respective DBP programs.</w:t>
      </w:r>
      <w:r w:rsidR="00833C6C">
        <w:t xml:space="preserve"> </w:t>
      </w:r>
    </w:p>
    <w:p w14:paraId="14C93005" w14:textId="77777777" w:rsidR="00AC2B22" w:rsidRPr="00D5415E" w:rsidRDefault="00AC2B22" w:rsidP="00AC2B22">
      <w:pPr>
        <w:pStyle w:val="Heading2"/>
      </w:pPr>
      <w:bookmarkStart w:id="204" w:name="_Toc383597946"/>
      <w:bookmarkStart w:id="205" w:name="_Toc415761841"/>
      <w:r>
        <w:t>5</w:t>
      </w:r>
      <w:r w:rsidRPr="00D5415E">
        <w:t>.</w:t>
      </w:r>
      <w:r>
        <w:t>4</w:t>
      </w:r>
      <w:r w:rsidRPr="00D5415E">
        <w:t xml:space="preserve"> </w:t>
      </w:r>
      <w:r>
        <w:t>Reference Loads and Load Impacts</w:t>
      </w:r>
      <w:bookmarkEnd w:id="197"/>
      <w:bookmarkEnd w:id="198"/>
      <w:bookmarkEnd w:id="199"/>
      <w:bookmarkEnd w:id="200"/>
      <w:bookmarkEnd w:id="201"/>
      <w:bookmarkEnd w:id="202"/>
      <w:bookmarkEnd w:id="204"/>
      <w:bookmarkEnd w:id="205"/>
    </w:p>
    <w:p w14:paraId="0543E252" w14:textId="16C4D775" w:rsidR="00AC2B22" w:rsidRDefault="00AC2B22" w:rsidP="00AC2B22">
      <w:r>
        <w:t xml:space="preserve">For each utility and program type, we provide the following summary information: the hourly profile of reference loads and load impacts for typical event days; the level of load impacts across years; and the distribution of load impacts by </w:t>
      </w:r>
      <w:r w:rsidR="00C069AD">
        <w:t>LCA</w:t>
      </w:r>
      <w:r>
        <w:t xml:space="preserve">. </w:t>
      </w:r>
    </w:p>
    <w:p w14:paraId="184E279A" w14:textId="77777777" w:rsidR="00AC2B22" w:rsidRDefault="00AC2B22" w:rsidP="00AC2B22"/>
    <w:p w14:paraId="09520130" w14:textId="77777777" w:rsidR="00AC2B22" w:rsidRDefault="00AC2B22" w:rsidP="00AC2B22">
      <w:r>
        <w:t xml:space="preserve">Together, these figures provide a useful indication of the anticipated changes in the forecast load impacts across the various scenarios represented in the Protocol tables. </w:t>
      </w:r>
    </w:p>
    <w:p w14:paraId="2A04316E" w14:textId="77777777" w:rsidR="00AC2B22" w:rsidRDefault="00AC2B22" w:rsidP="00AC2B22">
      <w:r>
        <w:t>All of the tables required by the Protocols are provided in an Appendix.</w:t>
      </w:r>
    </w:p>
    <w:p w14:paraId="7DE91C21" w14:textId="77777777" w:rsidR="00AC2B22" w:rsidRPr="007E650A" w:rsidRDefault="00AC2B22" w:rsidP="00AC2B22">
      <w:pPr>
        <w:pStyle w:val="Heading3"/>
        <w:rPr>
          <w:sz w:val="22"/>
        </w:rPr>
      </w:pPr>
      <w:bookmarkStart w:id="206" w:name="_Toc254952724"/>
      <w:bookmarkStart w:id="207" w:name="_Toc257708629"/>
      <w:bookmarkStart w:id="208" w:name="_Toc289180096"/>
      <w:bookmarkStart w:id="209" w:name="_Toc326224659"/>
      <w:bookmarkStart w:id="210" w:name="_Toc383597947"/>
      <w:bookmarkStart w:id="211" w:name="_Toc415761842"/>
      <w:r>
        <w:rPr>
          <w:sz w:val="22"/>
        </w:rPr>
        <w:lastRenderedPageBreak/>
        <w:t>5</w:t>
      </w:r>
      <w:r w:rsidRPr="009C75C1">
        <w:rPr>
          <w:sz w:val="22"/>
        </w:rPr>
        <w:t>.4.1 PG&amp;E</w:t>
      </w:r>
      <w:bookmarkEnd w:id="206"/>
      <w:bookmarkEnd w:id="207"/>
      <w:bookmarkEnd w:id="208"/>
      <w:bookmarkEnd w:id="209"/>
      <w:bookmarkEnd w:id="210"/>
      <w:bookmarkEnd w:id="211"/>
    </w:p>
    <w:p w14:paraId="72E90FA7" w14:textId="72C1DFEE" w:rsidR="00AC2B22" w:rsidRDefault="00AC2B22" w:rsidP="00AC2B22">
      <w:r>
        <w:t xml:space="preserve">Figure 5.2 shows the program-level August 2015 forecast load impacts for a typical event day in a </w:t>
      </w:r>
      <w:r w:rsidR="0039387E">
        <w:t xml:space="preserve">utility-specific </w:t>
      </w:r>
      <w:r>
        <w:t xml:space="preserve">1-in-2 weather year. Event-hour (1:00 to 6:00 p.m.) load impacts average </w:t>
      </w:r>
      <w:r w:rsidR="0039387E">
        <w:t>3</w:t>
      </w:r>
      <w:r>
        <w:t xml:space="preserve">2.5 MW, which represents </w:t>
      </w:r>
      <w:r w:rsidR="0039387E">
        <w:t>4.9</w:t>
      </w:r>
      <w:r>
        <w:t xml:space="preserve"> percent of the enrolled reference load. Figure </w:t>
      </w:r>
      <w:r w:rsidR="0039387E">
        <w:t>5.</w:t>
      </w:r>
      <w:r>
        <w:t>3 shows the same load impacts at the portfolio level (</w:t>
      </w:r>
      <w:r w:rsidRPr="00E422E8">
        <w:t>i.e.</w:t>
      </w:r>
      <w:r>
        <w:t xml:space="preserve">, when all DR programs are simultaneously called). On average, the load impacts are reduced by </w:t>
      </w:r>
      <w:r w:rsidR="0039387E">
        <w:t>31.5</w:t>
      </w:r>
      <w:r>
        <w:t xml:space="preserve"> MW (relative to the program-level load impact) to </w:t>
      </w:r>
      <w:r w:rsidR="0039387E">
        <w:t>1.0</w:t>
      </w:r>
      <w:r>
        <w:t xml:space="preserve"> MW and the percentage load impact goes down to 0.</w:t>
      </w:r>
      <w:r w:rsidR="0039387E">
        <w:t>3</w:t>
      </w:r>
      <w:r>
        <w:t xml:space="preserve"> percent. The large difference between program and portfolio load impacts is due to the contribution of customers dually enrolled in </w:t>
      </w:r>
      <w:r w:rsidR="00C069AD">
        <w:t xml:space="preserve">the </w:t>
      </w:r>
      <w:r>
        <w:t xml:space="preserve">DBP and </w:t>
      </w:r>
      <w:r w:rsidR="00C069AD">
        <w:t xml:space="preserve">the </w:t>
      </w:r>
      <w:r>
        <w:t xml:space="preserve">BIP or an aggregator program. In the portfolio analysis (when BIP and aggregator events are assumed to be called at the same time as the DBP event), the load impacts for the dually enrolled customers are removed from </w:t>
      </w:r>
      <w:r w:rsidR="00C069AD">
        <w:t xml:space="preserve">the </w:t>
      </w:r>
      <w:r>
        <w:t>DBP, dramatically reducing the load impact.</w:t>
      </w:r>
    </w:p>
    <w:p w14:paraId="720A68A2" w14:textId="77777777" w:rsidR="00AC2B22" w:rsidRDefault="00AC2B22" w:rsidP="00AC2B22"/>
    <w:p w14:paraId="145D0F82" w14:textId="584FF2C1" w:rsidR="00AC2B22" w:rsidRPr="0097115E" w:rsidRDefault="00AC2B22" w:rsidP="00AC2B22">
      <w:pPr>
        <w:pStyle w:val="FigureCaption"/>
        <w:keepNext/>
        <w:keepLines/>
      </w:pPr>
      <w:bookmarkStart w:id="212" w:name="_Toc254953016"/>
      <w:bookmarkStart w:id="213" w:name="_Toc257708740"/>
      <w:bookmarkStart w:id="214" w:name="_Toc289180148"/>
      <w:bookmarkStart w:id="215" w:name="_Toc326224724"/>
      <w:bookmarkStart w:id="216" w:name="_Toc383598049"/>
      <w:bookmarkStart w:id="217" w:name="_Toc415761920"/>
      <w:r w:rsidRPr="0097115E">
        <w:t>Figure</w:t>
      </w:r>
      <w:bookmarkStart w:id="218" w:name="_Toc227022610"/>
      <w:bookmarkStart w:id="219" w:name="_Toc227658419"/>
      <w:r>
        <w:t xml:space="preserve"> 5.2</w:t>
      </w:r>
      <w:r w:rsidRPr="0097115E">
        <w:t xml:space="preserve">: PG&amp;E Hourly Event Day Load Impacts for the Typical Event Day in a </w:t>
      </w:r>
      <w:r w:rsidR="0039387E">
        <w:t xml:space="preserve">Utility-specific </w:t>
      </w:r>
      <w:r w:rsidRPr="0097115E">
        <w:t>1-in-2 Weather Year for August 201</w:t>
      </w:r>
      <w:bookmarkEnd w:id="212"/>
      <w:bookmarkEnd w:id="218"/>
      <w:bookmarkEnd w:id="219"/>
      <w:r w:rsidRPr="0097115E">
        <w:t>5, Program Level</w:t>
      </w:r>
      <w:bookmarkEnd w:id="213"/>
      <w:bookmarkEnd w:id="214"/>
      <w:bookmarkEnd w:id="215"/>
      <w:bookmarkEnd w:id="216"/>
      <w:bookmarkEnd w:id="217"/>
    </w:p>
    <w:p w14:paraId="51289D0E" w14:textId="67B0EDC3" w:rsidR="00AC2B22" w:rsidRPr="00AD1AB7" w:rsidRDefault="0039387E" w:rsidP="00AC2B22">
      <w:pPr>
        <w:keepNext/>
        <w:keepLines/>
        <w:spacing w:after="120"/>
        <w:jc w:val="center"/>
      </w:pPr>
      <w:r>
        <w:rPr>
          <w:noProof/>
        </w:rPr>
        <w:drawing>
          <wp:inline distT="0" distB="0" distL="0" distR="0" wp14:anchorId="099E3DE4" wp14:editId="0433AF5C">
            <wp:extent cx="5486400" cy="398145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E1E1015" w14:textId="77777777" w:rsidR="00AC2B22" w:rsidRDefault="00AC2B22" w:rsidP="00AC2B22">
      <w:bookmarkStart w:id="220" w:name="_Toc257708741"/>
      <w:bookmarkStart w:id="221" w:name="_Toc289180149"/>
      <w:bookmarkStart w:id="222" w:name="_Toc326224725"/>
    </w:p>
    <w:p w14:paraId="025BC1FC" w14:textId="60FAD891" w:rsidR="00AC2B22" w:rsidRPr="0097115E" w:rsidRDefault="00AC2B22" w:rsidP="00AC2B22">
      <w:pPr>
        <w:pStyle w:val="FigureCaption"/>
        <w:keepNext/>
        <w:keepLines/>
      </w:pPr>
      <w:bookmarkStart w:id="223" w:name="_Toc383598050"/>
      <w:bookmarkStart w:id="224" w:name="_Toc415761921"/>
      <w:r>
        <w:lastRenderedPageBreak/>
        <w:t>Figure 5.3</w:t>
      </w:r>
      <w:r w:rsidRPr="0097115E">
        <w:t xml:space="preserve">: PG&amp;E Hourly Event Day Load Impacts for the Typical Event Day in a </w:t>
      </w:r>
      <w:r w:rsidR="0039387E">
        <w:t xml:space="preserve">Utility-specific </w:t>
      </w:r>
      <w:r w:rsidRPr="0097115E">
        <w:t>1-in-2 Weather Year for August 2015, Portfolio Level</w:t>
      </w:r>
      <w:bookmarkEnd w:id="220"/>
      <w:bookmarkEnd w:id="221"/>
      <w:bookmarkEnd w:id="222"/>
      <w:bookmarkEnd w:id="223"/>
      <w:bookmarkEnd w:id="224"/>
    </w:p>
    <w:p w14:paraId="152D978C" w14:textId="2C47EB29" w:rsidR="00AC2B22" w:rsidRPr="00AD1AB7" w:rsidRDefault="0039387E" w:rsidP="00AC2B22">
      <w:pPr>
        <w:keepNext/>
        <w:keepLines/>
        <w:jc w:val="center"/>
      </w:pPr>
      <w:bookmarkStart w:id="225" w:name="_Toc227022611"/>
      <w:bookmarkStart w:id="226" w:name="_Toc227658420"/>
      <w:bookmarkStart w:id="227" w:name="_Toc254953017"/>
      <w:r>
        <w:rPr>
          <w:noProof/>
        </w:rPr>
        <w:drawing>
          <wp:inline distT="0" distB="0" distL="0" distR="0" wp14:anchorId="5E1548C1" wp14:editId="5831E802">
            <wp:extent cx="5486400" cy="398145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11B95C7" w14:textId="77777777" w:rsidR="00AC2B22" w:rsidRDefault="00AC2B22" w:rsidP="00AC2B22"/>
    <w:p w14:paraId="6A4DBB72" w14:textId="5010D9EB" w:rsidR="00AC2B22" w:rsidRDefault="00AC2B22" w:rsidP="00AC2B22">
      <w:r>
        <w:t xml:space="preserve">Figure 5.4 shows the share of load impacts by </w:t>
      </w:r>
      <w:r w:rsidR="00C069AD">
        <w:t>LCA</w:t>
      </w:r>
      <w:r>
        <w:t xml:space="preserve">, assuming a typical event day in an August 2015 1-in-2 weather year. Customers not in any LCA account for the largest share, with </w:t>
      </w:r>
      <w:r w:rsidR="0039387E">
        <w:t>77</w:t>
      </w:r>
      <w:r>
        <w:t xml:space="preserve"> percent of the load impacts.</w:t>
      </w:r>
    </w:p>
    <w:p w14:paraId="431D018B" w14:textId="77777777" w:rsidR="00AC2B22" w:rsidRDefault="00AC2B22" w:rsidP="00AC2B22"/>
    <w:p w14:paraId="4AD1185F" w14:textId="4B1BB735" w:rsidR="00AC2B22" w:rsidRPr="0097115E" w:rsidRDefault="00AC2B22" w:rsidP="00AC2B22">
      <w:pPr>
        <w:pStyle w:val="FigureCaption"/>
        <w:keepNext/>
        <w:keepLines/>
      </w:pPr>
      <w:bookmarkStart w:id="228" w:name="_Toc257708742"/>
      <w:bookmarkStart w:id="229" w:name="_Toc289180150"/>
      <w:bookmarkStart w:id="230" w:name="_Toc326224726"/>
      <w:bookmarkStart w:id="231" w:name="_Toc383598051"/>
      <w:bookmarkStart w:id="232" w:name="_Toc415761922"/>
      <w:r w:rsidRPr="0097115E">
        <w:lastRenderedPageBreak/>
        <w:t xml:space="preserve">Figure </w:t>
      </w:r>
      <w:r>
        <w:t>5</w:t>
      </w:r>
      <w:r w:rsidRPr="0097115E">
        <w:t>.</w:t>
      </w:r>
      <w:r>
        <w:t>4</w:t>
      </w:r>
      <w:r w:rsidRPr="0097115E">
        <w:t xml:space="preserve">: Share of </w:t>
      </w:r>
      <w:r>
        <w:t xml:space="preserve">PG&amp;E </w:t>
      </w:r>
      <w:r w:rsidRPr="0097115E">
        <w:t xml:space="preserve">Load Impacts by LCA for the August 2015 Typical Event Day in a </w:t>
      </w:r>
      <w:r w:rsidR="0039387E">
        <w:t xml:space="preserve">Utility-specific </w:t>
      </w:r>
      <w:r w:rsidRPr="0097115E">
        <w:t>1</w:t>
      </w:r>
      <w:r w:rsidRPr="0097115E">
        <w:noBreakHyphen/>
        <w:t>in</w:t>
      </w:r>
      <w:r w:rsidRPr="0097115E">
        <w:noBreakHyphen/>
        <w:t>2 Weather Year</w:t>
      </w:r>
      <w:bookmarkEnd w:id="225"/>
      <w:bookmarkEnd w:id="226"/>
      <w:bookmarkEnd w:id="227"/>
      <w:bookmarkEnd w:id="228"/>
      <w:bookmarkEnd w:id="229"/>
      <w:bookmarkEnd w:id="230"/>
      <w:bookmarkEnd w:id="231"/>
      <w:bookmarkEnd w:id="232"/>
    </w:p>
    <w:p w14:paraId="52A0DD69" w14:textId="0E3E0B29" w:rsidR="00AC2B22" w:rsidRPr="00AD1AB7" w:rsidRDefault="0039387E" w:rsidP="00AC2B22">
      <w:pPr>
        <w:keepNext/>
        <w:keepLines/>
        <w:jc w:val="center"/>
      </w:pPr>
      <w:r w:rsidRPr="0039387E">
        <w:rPr>
          <w:noProof/>
        </w:rPr>
        <w:drawing>
          <wp:inline distT="0" distB="0" distL="0" distR="0" wp14:anchorId="77D6D33E" wp14:editId="6C3868DC">
            <wp:extent cx="5486400" cy="3974779"/>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86400" cy="3974779"/>
                    </a:xfrm>
                    <a:prstGeom prst="rect">
                      <a:avLst/>
                    </a:prstGeom>
                    <a:noFill/>
                    <a:ln>
                      <a:noFill/>
                    </a:ln>
                  </pic:spPr>
                </pic:pic>
              </a:graphicData>
            </a:graphic>
          </wp:inline>
        </w:drawing>
      </w:r>
    </w:p>
    <w:p w14:paraId="005AEA60" w14:textId="77777777" w:rsidR="00AC2B22" w:rsidRPr="00A22D9A" w:rsidRDefault="00AC2B22" w:rsidP="00AC2B22">
      <w:pPr>
        <w:keepNext/>
        <w:keepLines/>
        <w:jc w:val="center"/>
      </w:pPr>
    </w:p>
    <w:p w14:paraId="3ADE2790" w14:textId="04BFCE39" w:rsidR="00AC2B22" w:rsidRDefault="00AC2B22" w:rsidP="00AC2B22">
      <w:r>
        <w:t>Figure 5.5 illustrates August load impact for each forecast scenario, differentiated by 1-in-2 versus 1-in-10 weather conditions</w:t>
      </w:r>
      <w:r w:rsidR="0064122B">
        <w:t>, utility-specific versus CAISO-coincident peak conditions</w:t>
      </w:r>
      <w:r>
        <w:t>, and portfolio- versus program-level load impacts. Recall that the enrollment forecast does not change across the 201</w:t>
      </w:r>
      <w:r w:rsidR="0064122B">
        <w:t>5</w:t>
      </w:r>
      <w:r>
        <w:t>-20</w:t>
      </w:r>
      <w:r w:rsidR="00C069AD">
        <w:t>25</w:t>
      </w:r>
      <w:r>
        <w:t xml:space="preserve"> window, so these load impacts apply </w:t>
      </w:r>
      <w:r w:rsidR="0064122B">
        <w:t>to</w:t>
      </w:r>
      <w:r>
        <w:t xml:space="preserve"> August across the forecast years. There is a very small difference in load impacts across weather scenarios, but the portfolio-level load impacts are much lower than the program-level load impacts (due to the removal of the customers dually enrolled in </w:t>
      </w:r>
      <w:r w:rsidR="00C069AD">
        <w:t xml:space="preserve">the </w:t>
      </w:r>
      <w:r>
        <w:t xml:space="preserve">BIP or an aggregator program). </w:t>
      </w:r>
    </w:p>
    <w:p w14:paraId="77A08C1D" w14:textId="77777777" w:rsidR="00AC2B22" w:rsidRDefault="00AC2B22" w:rsidP="00AC2B22"/>
    <w:p w14:paraId="652C23BA" w14:textId="0A73B639" w:rsidR="00AC2B22" w:rsidRPr="0097115E" w:rsidRDefault="00AC2B22" w:rsidP="00AC2B22">
      <w:pPr>
        <w:pStyle w:val="FigureCaption"/>
        <w:keepNext/>
        <w:keepLines/>
      </w:pPr>
      <w:bookmarkStart w:id="233" w:name="_Toc227022613"/>
      <w:bookmarkStart w:id="234" w:name="_Toc227658422"/>
      <w:bookmarkStart w:id="235" w:name="_Toc254953018"/>
      <w:bookmarkStart w:id="236" w:name="_Toc257708743"/>
      <w:bookmarkStart w:id="237" w:name="_Toc289180151"/>
      <w:bookmarkStart w:id="238" w:name="_Toc326224727"/>
      <w:bookmarkStart w:id="239" w:name="_Toc383598052"/>
      <w:bookmarkStart w:id="240" w:name="_Toc415761923"/>
      <w:r w:rsidRPr="0097115E">
        <w:lastRenderedPageBreak/>
        <w:t xml:space="preserve">Figure </w:t>
      </w:r>
      <w:r>
        <w:t>5</w:t>
      </w:r>
      <w:r w:rsidRPr="0097115E">
        <w:t>.</w:t>
      </w:r>
      <w:r>
        <w:t>5</w:t>
      </w:r>
      <w:r w:rsidRPr="0097115E">
        <w:t xml:space="preserve">:  </w:t>
      </w:r>
      <w:bookmarkEnd w:id="233"/>
      <w:bookmarkEnd w:id="234"/>
      <w:bookmarkEnd w:id="235"/>
      <w:bookmarkEnd w:id="236"/>
      <w:bookmarkEnd w:id="237"/>
      <w:bookmarkEnd w:id="238"/>
      <w:r w:rsidRPr="0097115E">
        <w:t xml:space="preserve">Average Hourly </w:t>
      </w:r>
      <w:r w:rsidR="00933F01" w:rsidRPr="00933F01">
        <w:rPr>
          <w:i/>
        </w:rPr>
        <w:t>Ex-ante</w:t>
      </w:r>
      <w:r w:rsidRPr="0097115E">
        <w:t xml:space="preserve"> Load Impacts by Scenario</w:t>
      </w:r>
      <w:r>
        <w:t xml:space="preserve"> for August</w:t>
      </w:r>
      <w:r w:rsidRPr="0097115E">
        <w:t xml:space="preserve">, </w:t>
      </w:r>
      <w:r w:rsidRPr="0097115E">
        <w:rPr>
          <w:i/>
        </w:rPr>
        <w:t>PG&amp;E</w:t>
      </w:r>
      <w:bookmarkEnd w:id="239"/>
      <w:bookmarkEnd w:id="240"/>
    </w:p>
    <w:p w14:paraId="696385B0" w14:textId="552960BD" w:rsidR="00AC2B22" w:rsidRPr="004C2509" w:rsidRDefault="0064122B" w:rsidP="00AC2B22">
      <w:pPr>
        <w:keepNext/>
        <w:keepLines/>
        <w:jc w:val="center"/>
      </w:pPr>
      <w:r>
        <w:rPr>
          <w:noProof/>
        </w:rPr>
        <w:drawing>
          <wp:inline distT="0" distB="0" distL="0" distR="0" wp14:anchorId="2F712860" wp14:editId="01CBC0B4">
            <wp:extent cx="5486400" cy="398145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A0C9917" w14:textId="77777777" w:rsidR="00AC2B22" w:rsidRDefault="00AC2B22" w:rsidP="00AC2B22">
      <w:bookmarkStart w:id="241" w:name="_Toc254952725"/>
      <w:bookmarkStart w:id="242" w:name="_Toc257708630"/>
      <w:bookmarkStart w:id="243" w:name="_Toc289180097"/>
      <w:bookmarkStart w:id="244" w:name="_Toc326224660"/>
    </w:p>
    <w:p w14:paraId="4059CD44" w14:textId="77777777" w:rsidR="00AC2B22" w:rsidRDefault="00AC2B22" w:rsidP="00AC2B22">
      <w:r>
        <w:t>Table 5.3 shows the per-customer reference loads and load impacts by weather year and event-day scenario (program- versus portfolio-based) for the August monthly peak day.</w:t>
      </w:r>
    </w:p>
    <w:p w14:paraId="50246F3C" w14:textId="57C140E8" w:rsidR="00AC2B22" w:rsidRDefault="00AC2B22" w:rsidP="00AC2B22">
      <w:pPr>
        <w:pStyle w:val="TableCaption"/>
        <w:keepNext/>
        <w:keepLines/>
      </w:pPr>
      <w:bookmarkStart w:id="245" w:name="_Toc383598013"/>
      <w:bookmarkStart w:id="246" w:name="_Toc415761892"/>
      <w:r>
        <w:t xml:space="preserve">Table 5.3: Per-customer </w:t>
      </w:r>
      <w:r w:rsidR="00933F01" w:rsidRPr="00933F01">
        <w:rPr>
          <w:i/>
        </w:rPr>
        <w:t>Ex-ante</w:t>
      </w:r>
      <w:r>
        <w:t xml:space="preserve"> Load Impacts, </w:t>
      </w:r>
      <w:r w:rsidRPr="00624938">
        <w:rPr>
          <w:i/>
        </w:rPr>
        <w:t>PG&amp;E</w:t>
      </w:r>
      <w:bookmarkEnd w:id="245"/>
      <w:bookmarkEnd w:id="246"/>
    </w:p>
    <w:tbl>
      <w:tblPr>
        <w:tblStyle w:val="TableGrid"/>
        <w:tblW w:w="0" w:type="auto"/>
        <w:tblLook w:val="04A0" w:firstRow="1" w:lastRow="0" w:firstColumn="1" w:lastColumn="0" w:noHBand="0" w:noVBand="1"/>
      </w:tblPr>
      <w:tblGrid>
        <w:gridCol w:w="1731"/>
        <w:gridCol w:w="1727"/>
        <w:gridCol w:w="1739"/>
        <w:gridCol w:w="1716"/>
        <w:gridCol w:w="1717"/>
      </w:tblGrid>
      <w:tr w:rsidR="00AC2B22" w14:paraId="7A846709" w14:textId="77777777" w:rsidTr="00AC2B22">
        <w:tc>
          <w:tcPr>
            <w:tcW w:w="1771" w:type="dxa"/>
            <w:shd w:val="clear" w:color="auto" w:fill="DEEAF6" w:themeFill="accent1" w:themeFillTint="33"/>
            <w:vAlign w:val="center"/>
          </w:tcPr>
          <w:p w14:paraId="20CC4038" w14:textId="77777777" w:rsidR="00AC2B22" w:rsidRPr="00E478AF" w:rsidRDefault="00AC2B22" w:rsidP="00AC2B22">
            <w:pPr>
              <w:keepNext/>
              <w:keepLines/>
              <w:jc w:val="center"/>
              <w:rPr>
                <w:rFonts w:ascii="Arial" w:hAnsi="Arial" w:cs="Arial"/>
                <w:b/>
                <w:sz w:val="22"/>
                <w:szCs w:val="22"/>
              </w:rPr>
            </w:pPr>
            <w:r w:rsidRPr="00E478AF">
              <w:rPr>
                <w:rFonts w:ascii="Arial" w:hAnsi="Arial" w:cs="Arial"/>
                <w:b/>
                <w:sz w:val="22"/>
                <w:szCs w:val="22"/>
              </w:rPr>
              <w:t>Scenario</w:t>
            </w:r>
          </w:p>
        </w:tc>
        <w:tc>
          <w:tcPr>
            <w:tcW w:w="1771" w:type="dxa"/>
            <w:shd w:val="clear" w:color="auto" w:fill="DEEAF6" w:themeFill="accent1" w:themeFillTint="33"/>
            <w:vAlign w:val="center"/>
          </w:tcPr>
          <w:p w14:paraId="56C85BA4" w14:textId="77777777" w:rsidR="00AC2B22" w:rsidRPr="00E478AF" w:rsidRDefault="00AC2B22" w:rsidP="00AC2B22">
            <w:pPr>
              <w:keepNext/>
              <w:keepLines/>
              <w:jc w:val="center"/>
              <w:rPr>
                <w:rFonts w:ascii="Arial" w:hAnsi="Arial" w:cs="Arial"/>
                <w:b/>
                <w:sz w:val="22"/>
                <w:szCs w:val="22"/>
              </w:rPr>
            </w:pPr>
            <w:r w:rsidRPr="00E478AF">
              <w:rPr>
                <w:rFonts w:ascii="Arial" w:hAnsi="Arial" w:cs="Arial"/>
                <w:b/>
                <w:sz w:val="22"/>
                <w:szCs w:val="22"/>
              </w:rPr>
              <w:t>Weather Year</w:t>
            </w:r>
          </w:p>
        </w:tc>
        <w:tc>
          <w:tcPr>
            <w:tcW w:w="1771" w:type="dxa"/>
            <w:shd w:val="clear" w:color="auto" w:fill="DEEAF6" w:themeFill="accent1" w:themeFillTint="33"/>
            <w:vAlign w:val="center"/>
          </w:tcPr>
          <w:p w14:paraId="5F707E5D" w14:textId="77777777" w:rsidR="00AC2B22" w:rsidRPr="00E478AF" w:rsidRDefault="00AC2B22" w:rsidP="00AC2B22">
            <w:pPr>
              <w:keepNext/>
              <w:keepLines/>
              <w:jc w:val="center"/>
              <w:rPr>
                <w:rFonts w:ascii="Arial" w:hAnsi="Arial" w:cs="Arial"/>
                <w:b/>
                <w:sz w:val="22"/>
                <w:szCs w:val="22"/>
              </w:rPr>
            </w:pPr>
            <w:r w:rsidRPr="00E478AF">
              <w:rPr>
                <w:rFonts w:ascii="Arial" w:hAnsi="Arial" w:cs="Arial"/>
                <w:b/>
                <w:sz w:val="22"/>
                <w:szCs w:val="22"/>
              </w:rPr>
              <w:t>Reference Load (kW)</w:t>
            </w:r>
          </w:p>
        </w:tc>
        <w:tc>
          <w:tcPr>
            <w:tcW w:w="1771" w:type="dxa"/>
            <w:shd w:val="clear" w:color="auto" w:fill="DEEAF6" w:themeFill="accent1" w:themeFillTint="33"/>
            <w:vAlign w:val="center"/>
          </w:tcPr>
          <w:p w14:paraId="79ACA32D" w14:textId="77777777" w:rsidR="00AC2B22" w:rsidRPr="00E478AF" w:rsidRDefault="00AC2B22" w:rsidP="00AC2B22">
            <w:pPr>
              <w:keepNext/>
              <w:keepLines/>
              <w:jc w:val="center"/>
              <w:rPr>
                <w:rFonts w:ascii="Arial" w:hAnsi="Arial" w:cs="Arial"/>
                <w:b/>
                <w:sz w:val="22"/>
                <w:szCs w:val="22"/>
              </w:rPr>
            </w:pPr>
            <w:r w:rsidRPr="00E478AF">
              <w:rPr>
                <w:rFonts w:ascii="Arial" w:hAnsi="Arial" w:cs="Arial"/>
                <w:b/>
                <w:sz w:val="22"/>
                <w:szCs w:val="22"/>
              </w:rPr>
              <w:t>Load Impact (kW)</w:t>
            </w:r>
          </w:p>
        </w:tc>
        <w:tc>
          <w:tcPr>
            <w:tcW w:w="1772" w:type="dxa"/>
            <w:shd w:val="clear" w:color="auto" w:fill="DEEAF6" w:themeFill="accent1" w:themeFillTint="33"/>
            <w:vAlign w:val="center"/>
          </w:tcPr>
          <w:p w14:paraId="6EFCFD0A" w14:textId="77777777" w:rsidR="00AC2B22" w:rsidRPr="00E478AF" w:rsidRDefault="00AC2B22" w:rsidP="00AC2B22">
            <w:pPr>
              <w:keepNext/>
              <w:keepLines/>
              <w:jc w:val="center"/>
              <w:rPr>
                <w:rFonts w:ascii="Arial" w:hAnsi="Arial" w:cs="Arial"/>
                <w:b/>
                <w:sz w:val="22"/>
                <w:szCs w:val="22"/>
              </w:rPr>
            </w:pPr>
            <w:r w:rsidRPr="00E478AF">
              <w:rPr>
                <w:rFonts w:ascii="Arial" w:hAnsi="Arial" w:cs="Arial"/>
                <w:b/>
                <w:sz w:val="22"/>
                <w:szCs w:val="22"/>
              </w:rPr>
              <w:t>% Load Impact</w:t>
            </w:r>
          </w:p>
        </w:tc>
      </w:tr>
      <w:tr w:rsidR="0064122B" w14:paraId="7C323BB6" w14:textId="77777777" w:rsidTr="00AC2B22">
        <w:tc>
          <w:tcPr>
            <w:tcW w:w="1771" w:type="dxa"/>
            <w:vMerge w:val="restart"/>
            <w:vAlign w:val="center"/>
          </w:tcPr>
          <w:p w14:paraId="4471AE98" w14:textId="77777777" w:rsidR="0064122B" w:rsidRPr="00E478AF" w:rsidRDefault="0064122B" w:rsidP="00AC2B22">
            <w:pPr>
              <w:keepNext/>
              <w:keepLines/>
              <w:jc w:val="center"/>
              <w:rPr>
                <w:rFonts w:ascii="Arial" w:hAnsi="Arial" w:cs="Arial"/>
                <w:sz w:val="22"/>
                <w:szCs w:val="22"/>
              </w:rPr>
            </w:pPr>
            <w:r w:rsidRPr="00E478AF">
              <w:rPr>
                <w:rFonts w:ascii="Arial" w:hAnsi="Arial" w:cs="Arial"/>
                <w:sz w:val="22"/>
                <w:szCs w:val="22"/>
              </w:rPr>
              <w:t>Program-based</w:t>
            </w:r>
          </w:p>
        </w:tc>
        <w:tc>
          <w:tcPr>
            <w:tcW w:w="1771" w:type="dxa"/>
            <w:vAlign w:val="center"/>
          </w:tcPr>
          <w:p w14:paraId="5843CD77" w14:textId="0954C3A2" w:rsidR="0064122B" w:rsidRPr="00E478AF" w:rsidRDefault="0064122B" w:rsidP="00AC2B22">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1-in-2</w:t>
            </w:r>
          </w:p>
        </w:tc>
        <w:tc>
          <w:tcPr>
            <w:tcW w:w="1771" w:type="dxa"/>
            <w:vAlign w:val="center"/>
          </w:tcPr>
          <w:p w14:paraId="3C2E3CAD" w14:textId="4C0C2F23" w:rsidR="0064122B" w:rsidRPr="00E478AF" w:rsidRDefault="0064122B" w:rsidP="00AC2B22">
            <w:pPr>
              <w:keepNext/>
              <w:keepLines/>
              <w:jc w:val="center"/>
              <w:rPr>
                <w:rFonts w:ascii="Arial" w:hAnsi="Arial" w:cs="Arial"/>
                <w:sz w:val="22"/>
                <w:szCs w:val="22"/>
              </w:rPr>
            </w:pPr>
            <w:r>
              <w:rPr>
                <w:rFonts w:ascii="Arial" w:hAnsi="Arial" w:cs="Arial"/>
                <w:sz w:val="22"/>
                <w:szCs w:val="22"/>
              </w:rPr>
              <w:t>846.5</w:t>
            </w:r>
          </w:p>
        </w:tc>
        <w:tc>
          <w:tcPr>
            <w:tcW w:w="1771" w:type="dxa"/>
            <w:vAlign w:val="center"/>
          </w:tcPr>
          <w:p w14:paraId="54DA88A5" w14:textId="0A792F4E" w:rsidR="0064122B" w:rsidRPr="00E478AF" w:rsidRDefault="0064122B" w:rsidP="00AC2B22">
            <w:pPr>
              <w:keepNext/>
              <w:keepLines/>
              <w:jc w:val="center"/>
              <w:rPr>
                <w:rFonts w:ascii="Arial" w:hAnsi="Arial" w:cs="Arial"/>
                <w:sz w:val="22"/>
                <w:szCs w:val="22"/>
              </w:rPr>
            </w:pPr>
            <w:r>
              <w:rPr>
                <w:rFonts w:ascii="Arial" w:hAnsi="Arial" w:cs="Arial"/>
                <w:sz w:val="22"/>
                <w:szCs w:val="22"/>
              </w:rPr>
              <w:t>41.5</w:t>
            </w:r>
          </w:p>
        </w:tc>
        <w:tc>
          <w:tcPr>
            <w:tcW w:w="1772" w:type="dxa"/>
            <w:vAlign w:val="center"/>
          </w:tcPr>
          <w:p w14:paraId="5EB90CF0" w14:textId="661871CA" w:rsidR="0064122B" w:rsidRPr="00E478AF" w:rsidRDefault="0064122B" w:rsidP="00AC2B22">
            <w:pPr>
              <w:keepNext/>
              <w:keepLines/>
              <w:jc w:val="center"/>
              <w:rPr>
                <w:rFonts w:ascii="Arial" w:hAnsi="Arial" w:cs="Arial"/>
                <w:sz w:val="22"/>
                <w:szCs w:val="22"/>
              </w:rPr>
            </w:pPr>
            <w:r>
              <w:rPr>
                <w:rFonts w:ascii="Arial" w:hAnsi="Arial" w:cs="Arial"/>
                <w:sz w:val="22"/>
                <w:szCs w:val="22"/>
              </w:rPr>
              <w:t>4.9%</w:t>
            </w:r>
          </w:p>
        </w:tc>
      </w:tr>
      <w:tr w:rsidR="0064122B" w14:paraId="5319CAE3" w14:textId="77777777" w:rsidTr="00AC2B22">
        <w:tc>
          <w:tcPr>
            <w:tcW w:w="1771" w:type="dxa"/>
            <w:vMerge/>
            <w:vAlign w:val="center"/>
          </w:tcPr>
          <w:p w14:paraId="2E299DDE" w14:textId="77777777" w:rsidR="0064122B" w:rsidRPr="00E478AF" w:rsidRDefault="0064122B" w:rsidP="00AC2B22">
            <w:pPr>
              <w:keepNext/>
              <w:keepLines/>
              <w:jc w:val="center"/>
              <w:rPr>
                <w:rFonts w:ascii="Arial" w:hAnsi="Arial" w:cs="Arial"/>
                <w:sz w:val="22"/>
                <w:szCs w:val="22"/>
              </w:rPr>
            </w:pPr>
          </w:p>
        </w:tc>
        <w:tc>
          <w:tcPr>
            <w:tcW w:w="1771" w:type="dxa"/>
            <w:vAlign w:val="center"/>
          </w:tcPr>
          <w:p w14:paraId="0D9A2518" w14:textId="13E1E32A" w:rsidR="0064122B" w:rsidRPr="00E478AF" w:rsidRDefault="0064122B" w:rsidP="00AC2B22">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1-in-10</w:t>
            </w:r>
          </w:p>
        </w:tc>
        <w:tc>
          <w:tcPr>
            <w:tcW w:w="1771" w:type="dxa"/>
            <w:vAlign w:val="center"/>
          </w:tcPr>
          <w:p w14:paraId="6D8DBC38" w14:textId="52D243E6" w:rsidR="0064122B" w:rsidRPr="00E478AF" w:rsidRDefault="0064122B" w:rsidP="00AC2B22">
            <w:pPr>
              <w:keepNext/>
              <w:keepLines/>
              <w:jc w:val="center"/>
              <w:rPr>
                <w:rFonts w:ascii="Arial" w:hAnsi="Arial" w:cs="Arial"/>
                <w:sz w:val="22"/>
                <w:szCs w:val="22"/>
              </w:rPr>
            </w:pPr>
            <w:r>
              <w:rPr>
                <w:rFonts w:ascii="Arial" w:hAnsi="Arial" w:cs="Arial"/>
                <w:sz w:val="22"/>
                <w:szCs w:val="22"/>
              </w:rPr>
              <w:t>862.3</w:t>
            </w:r>
          </w:p>
        </w:tc>
        <w:tc>
          <w:tcPr>
            <w:tcW w:w="1771" w:type="dxa"/>
            <w:vAlign w:val="center"/>
          </w:tcPr>
          <w:p w14:paraId="717A9A84" w14:textId="6783AF83" w:rsidR="0064122B" w:rsidRPr="00E478AF" w:rsidRDefault="0064122B" w:rsidP="00AC2B22">
            <w:pPr>
              <w:keepNext/>
              <w:keepLines/>
              <w:jc w:val="center"/>
              <w:rPr>
                <w:rFonts w:ascii="Arial" w:hAnsi="Arial" w:cs="Arial"/>
                <w:sz w:val="22"/>
                <w:szCs w:val="22"/>
              </w:rPr>
            </w:pPr>
            <w:r>
              <w:rPr>
                <w:rFonts w:ascii="Arial" w:hAnsi="Arial" w:cs="Arial"/>
                <w:sz w:val="22"/>
                <w:szCs w:val="22"/>
              </w:rPr>
              <w:t>41.7</w:t>
            </w:r>
          </w:p>
        </w:tc>
        <w:tc>
          <w:tcPr>
            <w:tcW w:w="1772" w:type="dxa"/>
            <w:vAlign w:val="center"/>
          </w:tcPr>
          <w:p w14:paraId="0786A2A2" w14:textId="41F11014" w:rsidR="0064122B" w:rsidRPr="00E478AF" w:rsidRDefault="0064122B" w:rsidP="00AC2B22">
            <w:pPr>
              <w:keepNext/>
              <w:keepLines/>
              <w:jc w:val="center"/>
              <w:rPr>
                <w:rFonts w:ascii="Arial" w:hAnsi="Arial" w:cs="Arial"/>
                <w:sz w:val="22"/>
                <w:szCs w:val="22"/>
              </w:rPr>
            </w:pPr>
            <w:r>
              <w:rPr>
                <w:rFonts w:ascii="Arial" w:hAnsi="Arial" w:cs="Arial"/>
                <w:sz w:val="22"/>
                <w:szCs w:val="22"/>
              </w:rPr>
              <w:t>4.8%</w:t>
            </w:r>
          </w:p>
        </w:tc>
      </w:tr>
      <w:tr w:rsidR="0064122B" w14:paraId="419F2E10" w14:textId="77777777" w:rsidTr="00AC2B22">
        <w:tc>
          <w:tcPr>
            <w:tcW w:w="1771" w:type="dxa"/>
            <w:vMerge/>
            <w:vAlign w:val="center"/>
          </w:tcPr>
          <w:p w14:paraId="1ABCF0CA" w14:textId="77777777" w:rsidR="0064122B" w:rsidRPr="00E478AF" w:rsidRDefault="0064122B" w:rsidP="0064122B">
            <w:pPr>
              <w:keepNext/>
              <w:keepLines/>
              <w:jc w:val="center"/>
              <w:rPr>
                <w:rFonts w:ascii="Arial" w:hAnsi="Arial" w:cs="Arial"/>
                <w:sz w:val="22"/>
                <w:szCs w:val="22"/>
              </w:rPr>
            </w:pPr>
          </w:p>
        </w:tc>
        <w:tc>
          <w:tcPr>
            <w:tcW w:w="1771" w:type="dxa"/>
            <w:vAlign w:val="center"/>
          </w:tcPr>
          <w:p w14:paraId="5D6E2423" w14:textId="54E105BC" w:rsidR="0064122B" w:rsidRPr="00E478AF" w:rsidRDefault="0064122B" w:rsidP="0064122B">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1-in-2</w:t>
            </w:r>
          </w:p>
        </w:tc>
        <w:tc>
          <w:tcPr>
            <w:tcW w:w="1771" w:type="dxa"/>
            <w:vAlign w:val="center"/>
          </w:tcPr>
          <w:p w14:paraId="656D39BD" w14:textId="5802A0C9" w:rsidR="0064122B" w:rsidRPr="00E478AF" w:rsidRDefault="0064122B" w:rsidP="0064122B">
            <w:pPr>
              <w:keepNext/>
              <w:keepLines/>
              <w:jc w:val="center"/>
              <w:rPr>
                <w:rFonts w:ascii="Arial" w:hAnsi="Arial" w:cs="Arial"/>
                <w:sz w:val="22"/>
                <w:szCs w:val="22"/>
              </w:rPr>
            </w:pPr>
            <w:r>
              <w:rPr>
                <w:rFonts w:ascii="Arial" w:hAnsi="Arial" w:cs="Arial"/>
                <w:sz w:val="22"/>
                <w:szCs w:val="22"/>
              </w:rPr>
              <w:t>837.9</w:t>
            </w:r>
          </w:p>
        </w:tc>
        <w:tc>
          <w:tcPr>
            <w:tcW w:w="1771" w:type="dxa"/>
            <w:vAlign w:val="center"/>
          </w:tcPr>
          <w:p w14:paraId="2A4CFE80" w14:textId="77DF30D5" w:rsidR="0064122B" w:rsidRPr="00E478AF" w:rsidRDefault="0064122B" w:rsidP="0064122B">
            <w:pPr>
              <w:keepNext/>
              <w:keepLines/>
              <w:jc w:val="center"/>
              <w:rPr>
                <w:rFonts w:ascii="Arial" w:hAnsi="Arial" w:cs="Arial"/>
                <w:sz w:val="22"/>
                <w:szCs w:val="22"/>
              </w:rPr>
            </w:pPr>
            <w:r>
              <w:rPr>
                <w:rFonts w:ascii="Arial" w:hAnsi="Arial" w:cs="Arial"/>
                <w:sz w:val="22"/>
                <w:szCs w:val="22"/>
              </w:rPr>
              <w:t>41.4</w:t>
            </w:r>
          </w:p>
        </w:tc>
        <w:tc>
          <w:tcPr>
            <w:tcW w:w="1772" w:type="dxa"/>
            <w:vAlign w:val="center"/>
          </w:tcPr>
          <w:p w14:paraId="66CC2B1F" w14:textId="48615836" w:rsidR="0064122B" w:rsidRPr="00E478AF" w:rsidRDefault="0064122B" w:rsidP="0064122B">
            <w:pPr>
              <w:keepNext/>
              <w:keepLines/>
              <w:jc w:val="center"/>
              <w:rPr>
                <w:rFonts w:ascii="Arial" w:hAnsi="Arial" w:cs="Arial"/>
                <w:sz w:val="22"/>
                <w:szCs w:val="22"/>
              </w:rPr>
            </w:pPr>
            <w:r>
              <w:rPr>
                <w:rFonts w:ascii="Arial" w:hAnsi="Arial" w:cs="Arial"/>
                <w:sz w:val="22"/>
                <w:szCs w:val="22"/>
              </w:rPr>
              <w:t>4.9%</w:t>
            </w:r>
          </w:p>
        </w:tc>
      </w:tr>
      <w:tr w:rsidR="0064122B" w14:paraId="316072CF" w14:textId="77777777" w:rsidTr="00AC2B22">
        <w:tc>
          <w:tcPr>
            <w:tcW w:w="1771" w:type="dxa"/>
            <w:vMerge/>
            <w:vAlign w:val="center"/>
          </w:tcPr>
          <w:p w14:paraId="2097F9C3" w14:textId="77777777" w:rsidR="0064122B" w:rsidRPr="00E478AF" w:rsidRDefault="0064122B" w:rsidP="0064122B">
            <w:pPr>
              <w:keepNext/>
              <w:keepLines/>
              <w:jc w:val="center"/>
              <w:rPr>
                <w:rFonts w:ascii="Arial" w:hAnsi="Arial" w:cs="Arial"/>
                <w:sz w:val="22"/>
                <w:szCs w:val="22"/>
              </w:rPr>
            </w:pPr>
          </w:p>
        </w:tc>
        <w:tc>
          <w:tcPr>
            <w:tcW w:w="1771" w:type="dxa"/>
            <w:vAlign w:val="center"/>
          </w:tcPr>
          <w:p w14:paraId="01556C09" w14:textId="57A5ED63" w:rsidR="0064122B" w:rsidRPr="00E478AF" w:rsidRDefault="0064122B" w:rsidP="0064122B">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1-in-10</w:t>
            </w:r>
          </w:p>
        </w:tc>
        <w:tc>
          <w:tcPr>
            <w:tcW w:w="1771" w:type="dxa"/>
            <w:vAlign w:val="center"/>
          </w:tcPr>
          <w:p w14:paraId="451E3F9B" w14:textId="5981DAC5" w:rsidR="0064122B" w:rsidRPr="00E478AF" w:rsidRDefault="0064122B" w:rsidP="0064122B">
            <w:pPr>
              <w:keepNext/>
              <w:keepLines/>
              <w:jc w:val="center"/>
              <w:rPr>
                <w:rFonts w:ascii="Arial" w:hAnsi="Arial" w:cs="Arial"/>
                <w:sz w:val="22"/>
                <w:szCs w:val="22"/>
              </w:rPr>
            </w:pPr>
            <w:r>
              <w:rPr>
                <w:rFonts w:ascii="Arial" w:hAnsi="Arial" w:cs="Arial"/>
                <w:sz w:val="22"/>
                <w:szCs w:val="22"/>
              </w:rPr>
              <w:t>848.3</w:t>
            </w:r>
          </w:p>
        </w:tc>
        <w:tc>
          <w:tcPr>
            <w:tcW w:w="1771" w:type="dxa"/>
            <w:vAlign w:val="center"/>
          </w:tcPr>
          <w:p w14:paraId="347AE8D7" w14:textId="65B29886" w:rsidR="0064122B" w:rsidRPr="00E478AF" w:rsidRDefault="0064122B" w:rsidP="0064122B">
            <w:pPr>
              <w:keepNext/>
              <w:keepLines/>
              <w:jc w:val="center"/>
              <w:rPr>
                <w:rFonts w:ascii="Arial" w:hAnsi="Arial" w:cs="Arial"/>
                <w:sz w:val="22"/>
                <w:szCs w:val="22"/>
              </w:rPr>
            </w:pPr>
            <w:r>
              <w:rPr>
                <w:rFonts w:ascii="Arial" w:hAnsi="Arial" w:cs="Arial"/>
                <w:sz w:val="22"/>
                <w:szCs w:val="22"/>
              </w:rPr>
              <w:t>41.5</w:t>
            </w:r>
          </w:p>
        </w:tc>
        <w:tc>
          <w:tcPr>
            <w:tcW w:w="1772" w:type="dxa"/>
            <w:vAlign w:val="center"/>
          </w:tcPr>
          <w:p w14:paraId="6A4342A4" w14:textId="0F92282C" w:rsidR="0064122B" w:rsidRPr="00E478AF" w:rsidRDefault="0064122B" w:rsidP="0064122B">
            <w:pPr>
              <w:keepNext/>
              <w:keepLines/>
              <w:jc w:val="center"/>
              <w:rPr>
                <w:rFonts w:ascii="Arial" w:hAnsi="Arial" w:cs="Arial"/>
                <w:sz w:val="22"/>
                <w:szCs w:val="22"/>
              </w:rPr>
            </w:pPr>
            <w:r>
              <w:rPr>
                <w:rFonts w:ascii="Arial" w:hAnsi="Arial" w:cs="Arial"/>
                <w:sz w:val="22"/>
                <w:szCs w:val="22"/>
              </w:rPr>
              <w:t>4.9%</w:t>
            </w:r>
          </w:p>
        </w:tc>
      </w:tr>
      <w:tr w:rsidR="0064122B" w14:paraId="4DDA24A3" w14:textId="77777777" w:rsidTr="00AC2B22">
        <w:tc>
          <w:tcPr>
            <w:tcW w:w="1771" w:type="dxa"/>
            <w:vMerge w:val="restart"/>
            <w:vAlign w:val="center"/>
          </w:tcPr>
          <w:p w14:paraId="1F893C7C" w14:textId="77777777" w:rsidR="0064122B" w:rsidRPr="00E478AF" w:rsidRDefault="0064122B" w:rsidP="0064122B">
            <w:pPr>
              <w:keepNext/>
              <w:keepLines/>
              <w:jc w:val="center"/>
              <w:rPr>
                <w:rFonts w:ascii="Arial" w:hAnsi="Arial" w:cs="Arial"/>
                <w:sz w:val="22"/>
                <w:szCs w:val="22"/>
              </w:rPr>
            </w:pPr>
            <w:r w:rsidRPr="00E478AF">
              <w:rPr>
                <w:rFonts w:ascii="Arial" w:hAnsi="Arial" w:cs="Arial"/>
                <w:sz w:val="22"/>
                <w:szCs w:val="22"/>
              </w:rPr>
              <w:t>Portfolio-based</w:t>
            </w:r>
          </w:p>
        </w:tc>
        <w:tc>
          <w:tcPr>
            <w:tcW w:w="1771" w:type="dxa"/>
            <w:vAlign w:val="center"/>
          </w:tcPr>
          <w:p w14:paraId="6EE2289A" w14:textId="27FC5E53" w:rsidR="0064122B" w:rsidRPr="00E478AF" w:rsidRDefault="0064122B" w:rsidP="0064122B">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1-in-2</w:t>
            </w:r>
          </w:p>
        </w:tc>
        <w:tc>
          <w:tcPr>
            <w:tcW w:w="1771" w:type="dxa"/>
            <w:vAlign w:val="center"/>
          </w:tcPr>
          <w:p w14:paraId="753C87B0" w14:textId="751BCB24" w:rsidR="0064122B" w:rsidRPr="00E478AF" w:rsidRDefault="0064122B" w:rsidP="0064122B">
            <w:pPr>
              <w:keepNext/>
              <w:keepLines/>
              <w:jc w:val="center"/>
              <w:rPr>
                <w:rFonts w:ascii="Arial" w:hAnsi="Arial" w:cs="Arial"/>
                <w:sz w:val="22"/>
                <w:szCs w:val="22"/>
              </w:rPr>
            </w:pPr>
            <w:r>
              <w:rPr>
                <w:rFonts w:ascii="Arial" w:hAnsi="Arial" w:cs="Arial"/>
                <w:sz w:val="22"/>
                <w:szCs w:val="22"/>
              </w:rPr>
              <w:t>706.2</w:t>
            </w:r>
          </w:p>
        </w:tc>
        <w:tc>
          <w:tcPr>
            <w:tcW w:w="1771" w:type="dxa"/>
            <w:vAlign w:val="center"/>
          </w:tcPr>
          <w:p w14:paraId="2E2E72EF" w14:textId="464D15E5" w:rsidR="0064122B" w:rsidRPr="00E478AF" w:rsidRDefault="0064122B" w:rsidP="0064122B">
            <w:pPr>
              <w:keepNext/>
              <w:keepLines/>
              <w:jc w:val="center"/>
              <w:rPr>
                <w:rFonts w:ascii="Arial" w:hAnsi="Arial" w:cs="Arial"/>
                <w:sz w:val="22"/>
                <w:szCs w:val="22"/>
              </w:rPr>
            </w:pPr>
            <w:r>
              <w:rPr>
                <w:rFonts w:ascii="Arial" w:hAnsi="Arial" w:cs="Arial"/>
                <w:sz w:val="22"/>
                <w:szCs w:val="22"/>
              </w:rPr>
              <w:t>1.8</w:t>
            </w:r>
          </w:p>
        </w:tc>
        <w:tc>
          <w:tcPr>
            <w:tcW w:w="1772" w:type="dxa"/>
            <w:vAlign w:val="center"/>
          </w:tcPr>
          <w:p w14:paraId="46FC0860" w14:textId="164DC8BD" w:rsidR="0064122B" w:rsidRPr="00E478AF" w:rsidRDefault="0064122B" w:rsidP="0064122B">
            <w:pPr>
              <w:keepNext/>
              <w:keepLines/>
              <w:jc w:val="center"/>
              <w:rPr>
                <w:rFonts w:ascii="Arial" w:hAnsi="Arial" w:cs="Arial"/>
                <w:sz w:val="22"/>
                <w:szCs w:val="22"/>
              </w:rPr>
            </w:pPr>
            <w:r>
              <w:rPr>
                <w:rFonts w:ascii="Arial" w:hAnsi="Arial" w:cs="Arial"/>
                <w:sz w:val="22"/>
                <w:szCs w:val="22"/>
              </w:rPr>
              <w:t>0.3%</w:t>
            </w:r>
          </w:p>
        </w:tc>
      </w:tr>
      <w:tr w:rsidR="0064122B" w14:paraId="6FF38DF6" w14:textId="77777777" w:rsidTr="00AC2B22">
        <w:tc>
          <w:tcPr>
            <w:tcW w:w="1771" w:type="dxa"/>
            <w:vMerge/>
            <w:vAlign w:val="center"/>
          </w:tcPr>
          <w:p w14:paraId="44BC7248" w14:textId="77777777" w:rsidR="0064122B" w:rsidRPr="00E478AF" w:rsidRDefault="0064122B" w:rsidP="0064122B">
            <w:pPr>
              <w:keepNext/>
              <w:keepLines/>
              <w:jc w:val="center"/>
              <w:rPr>
                <w:rFonts w:ascii="Arial" w:hAnsi="Arial" w:cs="Arial"/>
                <w:sz w:val="22"/>
                <w:szCs w:val="22"/>
              </w:rPr>
            </w:pPr>
          </w:p>
        </w:tc>
        <w:tc>
          <w:tcPr>
            <w:tcW w:w="1771" w:type="dxa"/>
            <w:vAlign w:val="center"/>
          </w:tcPr>
          <w:p w14:paraId="0C7911AC" w14:textId="081E2A7D" w:rsidR="0064122B" w:rsidRPr="00E478AF" w:rsidRDefault="0064122B" w:rsidP="0064122B">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1-in-10</w:t>
            </w:r>
          </w:p>
        </w:tc>
        <w:tc>
          <w:tcPr>
            <w:tcW w:w="1771" w:type="dxa"/>
            <w:vAlign w:val="center"/>
          </w:tcPr>
          <w:p w14:paraId="1BA79AF9" w14:textId="411AA645" w:rsidR="0064122B" w:rsidRPr="00E478AF" w:rsidRDefault="0064122B" w:rsidP="0064122B">
            <w:pPr>
              <w:keepNext/>
              <w:keepLines/>
              <w:jc w:val="center"/>
              <w:rPr>
                <w:rFonts w:ascii="Arial" w:hAnsi="Arial" w:cs="Arial"/>
                <w:sz w:val="22"/>
                <w:szCs w:val="22"/>
              </w:rPr>
            </w:pPr>
            <w:r>
              <w:rPr>
                <w:rFonts w:ascii="Arial" w:hAnsi="Arial" w:cs="Arial"/>
                <w:sz w:val="22"/>
                <w:szCs w:val="22"/>
              </w:rPr>
              <w:t>723.9</w:t>
            </w:r>
          </w:p>
        </w:tc>
        <w:tc>
          <w:tcPr>
            <w:tcW w:w="1771" w:type="dxa"/>
            <w:vAlign w:val="center"/>
          </w:tcPr>
          <w:p w14:paraId="07F111BC" w14:textId="366973F8" w:rsidR="0064122B" w:rsidRPr="00E478AF" w:rsidRDefault="0064122B" w:rsidP="0064122B">
            <w:pPr>
              <w:keepNext/>
              <w:keepLines/>
              <w:jc w:val="center"/>
              <w:rPr>
                <w:rFonts w:ascii="Arial" w:hAnsi="Arial" w:cs="Arial"/>
                <w:sz w:val="22"/>
                <w:szCs w:val="22"/>
              </w:rPr>
            </w:pPr>
            <w:r>
              <w:rPr>
                <w:rFonts w:ascii="Arial" w:hAnsi="Arial" w:cs="Arial"/>
                <w:sz w:val="22"/>
                <w:szCs w:val="22"/>
              </w:rPr>
              <w:t>1.9</w:t>
            </w:r>
          </w:p>
        </w:tc>
        <w:tc>
          <w:tcPr>
            <w:tcW w:w="1772" w:type="dxa"/>
            <w:vAlign w:val="center"/>
          </w:tcPr>
          <w:p w14:paraId="46421384" w14:textId="0692AED7" w:rsidR="0064122B" w:rsidRPr="00E478AF" w:rsidRDefault="0064122B" w:rsidP="0064122B">
            <w:pPr>
              <w:keepNext/>
              <w:keepLines/>
              <w:jc w:val="center"/>
              <w:rPr>
                <w:rFonts w:ascii="Arial" w:hAnsi="Arial" w:cs="Arial"/>
                <w:sz w:val="22"/>
                <w:szCs w:val="22"/>
              </w:rPr>
            </w:pPr>
            <w:r>
              <w:rPr>
                <w:rFonts w:ascii="Arial" w:hAnsi="Arial" w:cs="Arial"/>
                <w:sz w:val="22"/>
                <w:szCs w:val="22"/>
              </w:rPr>
              <w:t>0.3%</w:t>
            </w:r>
          </w:p>
        </w:tc>
      </w:tr>
      <w:tr w:rsidR="0064122B" w14:paraId="00FB26AD" w14:textId="77777777" w:rsidTr="00AC2B22">
        <w:tc>
          <w:tcPr>
            <w:tcW w:w="1771" w:type="dxa"/>
            <w:vMerge/>
            <w:vAlign w:val="center"/>
          </w:tcPr>
          <w:p w14:paraId="66E4F562" w14:textId="77777777" w:rsidR="0064122B" w:rsidRPr="00E478AF" w:rsidRDefault="0064122B" w:rsidP="0064122B">
            <w:pPr>
              <w:keepNext/>
              <w:keepLines/>
              <w:jc w:val="center"/>
              <w:rPr>
                <w:rFonts w:ascii="Arial" w:hAnsi="Arial" w:cs="Arial"/>
                <w:sz w:val="22"/>
                <w:szCs w:val="22"/>
              </w:rPr>
            </w:pPr>
          </w:p>
        </w:tc>
        <w:tc>
          <w:tcPr>
            <w:tcW w:w="1771" w:type="dxa"/>
            <w:vAlign w:val="center"/>
          </w:tcPr>
          <w:p w14:paraId="78A6A3C3" w14:textId="0850C293" w:rsidR="0064122B" w:rsidRPr="00E478AF" w:rsidRDefault="0064122B" w:rsidP="0064122B">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1-in-2</w:t>
            </w:r>
          </w:p>
        </w:tc>
        <w:tc>
          <w:tcPr>
            <w:tcW w:w="1771" w:type="dxa"/>
            <w:vAlign w:val="center"/>
          </w:tcPr>
          <w:p w14:paraId="2BE57703" w14:textId="444A14FE" w:rsidR="0064122B" w:rsidRPr="00E478AF" w:rsidRDefault="0064122B" w:rsidP="0064122B">
            <w:pPr>
              <w:keepNext/>
              <w:keepLines/>
              <w:jc w:val="center"/>
              <w:rPr>
                <w:rFonts w:ascii="Arial" w:hAnsi="Arial" w:cs="Arial"/>
                <w:sz w:val="22"/>
                <w:szCs w:val="22"/>
              </w:rPr>
            </w:pPr>
            <w:r>
              <w:rPr>
                <w:rFonts w:ascii="Arial" w:hAnsi="Arial" w:cs="Arial"/>
                <w:sz w:val="22"/>
                <w:szCs w:val="22"/>
              </w:rPr>
              <w:t>695.5</w:t>
            </w:r>
          </w:p>
        </w:tc>
        <w:tc>
          <w:tcPr>
            <w:tcW w:w="1771" w:type="dxa"/>
            <w:vAlign w:val="center"/>
          </w:tcPr>
          <w:p w14:paraId="1D137BA5" w14:textId="69143886" w:rsidR="0064122B" w:rsidRPr="00E478AF" w:rsidRDefault="0064122B" w:rsidP="0064122B">
            <w:pPr>
              <w:keepNext/>
              <w:keepLines/>
              <w:jc w:val="center"/>
              <w:rPr>
                <w:rFonts w:ascii="Arial" w:hAnsi="Arial" w:cs="Arial"/>
                <w:sz w:val="22"/>
                <w:szCs w:val="22"/>
              </w:rPr>
            </w:pPr>
            <w:r>
              <w:rPr>
                <w:rFonts w:ascii="Arial" w:hAnsi="Arial" w:cs="Arial"/>
                <w:sz w:val="22"/>
                <w:szCs w:val="22"/>
              </w:rPr>
              <w:t>1.7</w:t>
            </w:r>
          </w:p>
        </w:tc>
        <w:tc>
          <w:tcPr>
            <w:tcW w:w="1772" w:type="dxa"/>
            <w:vAlign w:val="center"/>
          </w:tcPr>
          <w:p w14:paraId="0F7B1C58" w14:textId="47C96E3B" w:rsidR="0064122B" w:rsidRPr="00E478AF" w:rsidRDefault="0064122B" w:rsidP="0064122B">
            <w:pPr>
              <w:keepNext/>
              <w:keepLines/>
              <w:jc w:val="center"/>
              <w:rPr>
                <w:rFonts w:ascii="Arial" w:hAnsi="Arial" w:cs="Arial"/>
                <w:sz w:val="22"/>
                <w:szCs w:val="22"/>
              </w:rPr>
            </w:pPr>
            <w:r>
              <w:rPr>
                <w:rFonts w:ascii="Arial" w:hAnsi="Arial" w:cs="Arial"/>
                <w:sz w:val="22"/>
                <w:szCs w:val="22"/>
              </w:rPr>
              <w:t>0.2%</w:t>
            </w:r>
          </w:p>
        </w:tc>
      </w:tr>
      <w:tr w:rsidR="0064122B" w14:paraId="4209B440" w14:textId="77777777" w:rsidTr="00AC2B22">
        <w:tc>
          <w:tcPr>
            <w:tcW w:w="1771" w:type="dxa"/>
            <w:vMerge/>
            <w:vAlign w:val="center"/>
          </w:tcPr>
          <w:p w14:paraId="22DAC949" w14:textId="77777777" w:rsidR="0064122B" w:rsidRPr="00E478AF" w:rsidRDefault="0064122B" w:rsidP="0064122B">
            <w:pPr>
              <w:keepNext/>
              <w:keepLines/>
              <w:jc w:val="center"/>
              <w:rPr>
                <w:rFonts w:ascii="Arial" w:hAnsi="Arial" w:cs="Arial"/>
                <w:sz w:val="22"/>
                <w:szCs w:val="22"/>
              </w:rPr>
            </w:pPr>
          </w:p>
        </w:tc>
        <w:tc>
          <w:tcPr>
            <w:tcW w:w="1771" w:type="dxa"/>
            <w:vAlign w:val="center"/>
          </w:tcPr>
          <w:p w14:paraId="3E68BD60" w14:textId="1D45279E" w:rsidR="0064122B" w:rsidRPr="00E478AF" w:rsidRDefault="0064122B" w:rsidP="0064122B">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1-in-10</w:t>
            </w:r>
          </w:p>
        </w:tc>
        <w:tc>
          <w:tcPr>
            <w:tcW w:w="1771" w:type="dxa"/>
            <w:vAlign w:val="center"/>
          </w:tcPr>
          <w:p w14:paraId="5335ED22" w14:textId="1596A973" w:rsidR="0064122B" w:rsidRPr="00E478AF" w:rsidRDefault="0064122B" w:rsidP="0064122B">
            <w:pPr>
              <w:keepNext/>
              <w:keepLines/>
              <w:jc w:val="center"/>
              <w:rPr>
                <w:rFonts w:ascii="Arial" w:hAnsi="Arial" w:cs="Arial"/>
                <w:sz w:val="22"/>
                <w:szCs w:val="22"/>
              </w:rPr>
            </w:pPr>
            <w:r>
              <w:rPr>
                <w:rFonts w:ascii="Arial" w:hAnsi="Arial" w:cs="Arial"/>
                <w:sz w:val="22"/>
                <w:szCs w:val="22"/>
              </w:rPr>
              <w:t>707.9</w:t>
            </w:r>
          </w:p>
        </w:tc>
        <w:tc>
          <w:tcPr>
            <w:tcW w:w="1771" w:type="dxa"/>
            <w:vAlign w:val="center"/>
          </w:tcPr>
          <w:p w14:paraId="56D70259" w14:textId="4FEF565A" w:rsidR="0064122B" w:rsidRPr="00E478AF" w:rsidRDefault="0064122B" w:rsidP="0064122B">
            <w:pPr>
              <w:keepNext/>
              <w:keepLines/>
              <w:jc w:val="center"/>
              <w:rPr>
                <w:rFonts w:ascii="Arial" w:hAnsi="Arial" w:cs="Arial"/>
                <w:sz w:val="22"/>
                <w:szCs w:val="22"/>
              </w:rPr>
            </w:pPr>
            <w:r>
              <w:rPr>
                <w:rFonts w:ascii="Arial" w:hAnsi="Arial" w:cs="Arial"/>
                <w:sz w:val="22"/>
                <w:szCs w:val="22"/>
              </w:rPr>
              <w:t>1.8</w:t>
            </w:r>
          </w:p>
        </w:tc>
        <w:tc>
          <w:tcPr>
            <w:tcW w:w="1772" w:type="dxa"/>
            <w:vAlign w:val="center"/>
          </w:tcPr>
          <w:p w14:paraId="1181F7BC" w14:textId="2BD08FAA" w:rsidR="0064122B" w:rsidRPr="00E478AF" w:rsidRDefault="0064122B" w:rsidP="0064122B">
            <w:pPr>
              <w:keepNext/>
              <w:keepLines/>
              <w:jc w:val="center"/>
              <w:rPr>
                <w:rFonts w:ascii="Arial" w:hAnsi="Arial" w:cs="Arial"/>
                <w:sz w:val="22"/>
                <w:szCs w:val="22"/>
              </w:rPr>
            </w:pPr>
            <w:r>
              <w:rPr>
                <w:rFonts w:ascii="Arial" w:hAnsi="Arial" w:cs="Arial"/>
                <w:sz w:val="22"/>
                <w:szCs w:val="22"/>
              </w:rPr>
              <w:t>0.2%</w:t>
            </w:r>
          </w:p>
        </w:tc>
      </w:tr>
    </w:tbl>
    <w:p w14:paraId="6D99FC7E" w14:textId="77777777" w:rsidR="00AC2B22" w:rsidRDefault="00AC2B22" w:rsidP="00AC2B22">
      <w:pPr>
        <w:pStyle w:val="Heading3"/>
        <w:rPr>
          <w:sz w:val="22"/>
        </w:rPr>
      </w:pPr>
      <w:bookmarkStart w:id="247" w:name="_Toc383597948"/>
      <w:bookmarkStart w:id="248" w:name="_Toc415761843"/>
      <w:r>
        <w:rPr>
          <w:sz w:val="22"/>
        </w:rPr>
        <w:t>5</w:t>
      </w:r>
      <w:r w:rsidRPr="00333379">
        <w:rPr>
          <w:sz w:val="22"/>
        </w:rPr>
        <w:t>.4.2 SCE</w:t>
      </w:r>
      <w:bookmarkEnd w:id="241"/>
      <w:bookmarkEnd w:id="242"/>
      <w:bookmarkEnd w:id="243"/>
      <w:bookmarkEnd w:id="244"/>
      <w:bookmarkEnd w:id="247"/>
      <w:bookmarkEnd w:id="248"/>
    </w:p>
    <w:p w14:paraId="44EC3883" w14:textId="01A9DA22" w:rsidR="0024612B" w:rsidRDefault="0024612B" w:rsidP="0024612B">
      <w:r>
        <w:t xml:space="preserve">Figure 5.6 shows the program-level forecast reference loads and load impacts for the August 2015 peak day in a utility-specific 1-in-2 weather year. The average program-level load impact is 110.4 MW, or 15.8 percent of the reference load. </w:t>
      </w:r>
    </w:p>
    <w:p w14:paraId="3540CBF0" w14:textId="77777777" w:rsidR="0024612B" w:rsidRDefault="0024612B" w:rsidP="0024612B"/>
    <w:p w14:paraId="11DC8192" w14:textId="762832E9" w:rsidR="0024612B" w:rsidRDefault="0024612B" w:rsidP="0024612B">
      <w:r>
        <w:lastRenderedPageBreak/>
        <w:t>Figure 5.7 shows the portfolio-level forecast for the August 2015 peak day in a utility-specific 1-in-2 weather year. This forecast differs from the program-level forecast by excluding customers who are dually enrolled in DBP and BIP or AMP/DRC. Because the dually enrolled customers are much more demand responsive than the DBP-only customers, the load impacts are much lower in the portfolio-based scenario. Event-hour load impacts average 4.6 MW (a reduction of 105.8 MW relative to the program-level load impacts), or 1.6 percent of reference load.</w:t>
      </w:r>
    </w:p>
    <w:p w14:paraId="5363672D" w14:textId="77777777" w:rsidR="0024612B" w:rsidRPr="00EF7D98" w:rsidRDefault="0024612B" w:rsidP="0024612B"/>
    <w:p w14:paraId="2779F879" w14:textId="77777777" w:rsidR="0024612B" w:rsidRPr="00852320" w:rsidRDefault="0024612B" w:rsidP="0024612B">
      <w:pPr>
        <w:pStyle w:val="FigureCaption"/>
        <w:keepNext/>
        <w:keepLines/>
      </w:pPr>
      <w:bookmarkStart w:id="249" w:name="_Toc227022614"/>
      <w:bookmarkStart w:id="250" w:name="_Toc227658423"/>
      <w:bookmarkStart w:id="251" w:name="_Toc254953019"/>
      <w:bookmarkStart w:id="252" w:name="_Toc257708744"/>
      <w:bookmarkStart w:id="253" w:name="_Toc289180152"/>
      <w:bookmarkStart w:id="254" w:name="_Toc326224728"/>
      <w:bookmarkStart w:id="255" w:name="_Toc383598053"/>
      <w:bookmarkStart w:id="256" w:name="_Toc415761924"/>
      <w:r w:rsidRPr="00852320">
        <w:t xml:space="preserve">Figure </w:t>
      </w:r>
      <w:r>
        <w:t>5</w:t>
      </w:r>
      <w:r w:rsidRPr="00852320">
        <w:t>.</w:t>
      </w:r>
      <w:r>
        <w:t>6</w:t>
      </w:r>
      <w:r w:rsidRPr="00852320">
        <w:t xml:space="preserve">: </w:t>
      </w:r>
      <w:bookmarkEnd w:id="249"/>
      <w:bookmarkEnd w:id="250"/>
      <w:bookmarkEnd w:id="251"/>
      <w:bookmarkEnd w:id="252"/>
      <w:r w:rsidRPr="00852320">
        <w:t>SCE Hourly Event Day Load Impacts for the Typical Event Day in a 1</w:t>
      </w:r>
      <w:r w:rsidRPr="00852320">
        <w:noBreakHyphen/>
        <w:t>in-2 Weather Year for August 2015, Program Level</w:t>
      </w:r>
      <w:bookmarkEnd w:id="253"/>
      <w:bookmarkEnd w:id="254"/>
      <w:bookmarkEnd w:id="255"/>
      <w:bookmarkEnd w:id="256"/>
    </w:p>
    <w:p w14:paraId="0D3E0C9B" w14:textId="08974DBB" w:rsidR="0024612B" w:rsidRPr="00852320" w:rsidRDefault="0024612B" w:rsidP="0024612B">
      <w:pPr>
        <w:keepNext/>
        <w:keepLines/>
        <w:jc w:val="center"/>
      </w:pPr>
      <w:r>
        <w:rPr>
          <w:noProof/>
        </w:rPr>
        <w:drawing>
          <wp:inline distT="0" distB="0" distL="0" distR="0" wp14:anchorId="2F8DB196" wp14:editId="42885C3E">
            <wp:extent cx="5486400" cy="3981450"/>
            <wp:effectExtent l="0" t="0" r="0" b="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20765733" w14:textId="77777777" w:rsidR="0024612B" w:rsidRDefault="0024612B" w:rsidP="0024612B">
      <w:pPr>
        <w:pStyle w:val="FigureCaption"/>
      </w:pPr>
    </w:p>
    <w:p w14:paraId="76FBFE8A" w14:textId="77777777" w:rsidR="0024612B" w:rsidRPr="00852320" w:rsidRDefault="0024612B" w:rsidP="0024612B">
      <w:pPr>
        <w:pStyle w:val="FigureCaption"/>
        <w:keepNext/>
        <w:keepLines/>
      </w:pPr>
      <w:bookmarkStart w:id="257" w:name="_Toc326224729"/>
      <w:bookmarkStart w:id="258" w:name="_Toc383598054"/>
      <w:bookmarkStart w:id="259" w:name="_Toc415761925"/>
      <w:r w:rsidRPr="00852320">
        <w:lastRenderedPageBreak/>
        <w:t xml:space="preserve">Figure </w:t>
      </w:r>
      <w:r>
        <w:t>5</w:t>
      </w:r>
      <w:r w:rsidRPr="00852320">
        <w:t>.</w:t>
      </w:r>
      <w:r>
        <w:t>7</w:t>
      </w:r>
      <w:r w:rsidRPr="00852320">
        <w:t>: SCE Hourly Event Day Load Impacts for the Typical Event Day in a 1</w:t>
      </w:r>
      <w:r w:rsidRPr="00852320">
        <w:noBreakHyphen/>
        <w:t>in-2 Weather Year for August 2015, Portfolio Level</w:t>
      </w:r>
      <w:bookmarkEnd w:id="257"/>
      <w:bookmarkEnd w:id="258"/>
      <w:bookmarkEnd w:id="259"/>
    </w:p>
    <w:p w14:paraId="3C60EB1F" w14:textId="208D82E7" w:rsidR="0024612B" w:rsidRPr="00852320" w:rsidRDefault="0024612B" w:rsidP="0024612B">
      <w:pPr>
        <w:keepNext/>
        <w:keepLines/>
        <w:jc w:val="center"/>
      </w:pPr>
      <w:r>
        <w:rPr>
          <w:noProof/>
        </w:rPr>
        <w:drawing>
          <wp:inline distT="0" distB="0" distL="0" distR="0" wp14:anchorId="6FE398CE" wp14:editId="13D545F8">
            <wp:extent cx="5486400" cy="3981450"/>
            <wp:effectExtent l="0" t="0" r="0" b="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D28C8D2" w14:textId="77777777" w:rsidR="0024612B" w:rsidRDefault="0024612B" w:rsidP="0024612B"/>
    <w:p w14:paraId="50AD01D8" w14:textId="50E19C55" w:rsidR="0024612B" w:rsidRDefault="0024612B" w:rsidP="0024612B">
      <w:r>
        <w:t xml:space="preserve">Figure 5.8 shows the distribution of utility-specific 1-in-2 August 2015 program-level load impacts across local capacity areas. The LA Basin accounts for the largest share, with 69 percent of the total load impacts.  </w:t>
      </w:r>
    </w:p>
    <w:p w14:paraId="182CA87E" w14:textId="77777777" w:rsidR="0024612B" w:rsidRPr="00225C2F" w:rsidRDefault="0024612B" w:rsidP="0024612B"/>
    <w:p w14:paraId="0448A845" w14:textId="77777777" w:rsidR="0024612B" w:rsidRPr="00852320" w:rsidRDefault="0024612B" w:rsidP="0024612B">
      <w:pPr>
        <w:pStyle w:val="FigureCaption"/>
        <w:keepNext/>
        <w:keepLines/>
      </w:pPr>
      <w:bookmarkStart w:id="260" w:name="_Toc257708746"/>
      <w:bookmarkStart w:id="261" w:name="_Toc289180155"/>
      <w:bookmarkStart w:id="262" w:name="_Toc326224730"/>
      <w:bookmarkStart w:id="263" w:name="_Toc383598055"/>
      <w:bookmarkStart w:id="264" w:name="_Toc415761926"/>
      <w:r w:rsidRPr="00852320">
        <w:lastRenderedPageBreak/>
        <w:t xml:space="preserve">Figure </w:t>
      </w:r>
      <w:r>
        <w:t>5</w:t>
      </w:r>
      <w:r w:rsidRPr="00852320">
        <w:t>.</w:t>
      </w:r>
      <w:r>
        <w:t>8</w:t>
      </w:r>
      <w:r w:rsidRPr="00852320">
        <w:t>: Share of SCE DBP Load Impacts by Local Capacity Area</w:t>
      </w:r>
      <w:bookmarkEnd w:id="260"/>
      <w:bookmarkEnd w:id="261"/>
      <w:bookmarkEnd w:id="262"/>
      <w:bookmarkEnd w:id="263"/>
      <w:bookmarkEnd w:id="264"/>
    </w:p>
    <w:p w14:paraId="726BFEE8" w14:textId="0D69B2E6" w:rsidR="0024612B" w:rsidRPr="006B644C" w:rsidRDefault="0024612B" w:rsidP="0024612B">
      <w:pPr>
        <w:keepNext/>
        <w:keepLines/>
        <w:jc w:val="center"/>
      </w:pPr>
      <w:r>
        <w:rPr>
          <w:noProof/>
        </w:rPr>
        <w:drawing>
          <wp:inline distT="0" distB="0" distL="0" distR="0" wp14:anchorId="2B00C6F2" wp14:editId="71E9EAFF">
            <wp:extent cx="5486400" cy="3981450"/>
            <wp:effectExtent l="0" t="0" r="0" b="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41F120D" w14:textId="77777777" w:rsidR="0024612B" w:rsidRDefault="0024612B" w:rsidP="0024612B"/>
    <w:p w14:paraId="27045BA9" w14:textId="163475E8" w:rsidR="0024612B" w:rsidRDefault="0024612B" w:rsidP="0024612B">
      <w:r>
        <w:t xml:space="preserve">Figure 5.9 illustrates the average August hourly load impact across scenarios and year. The load impacts </w:t>
      </w:r>
      <w:r w:rsidR="00363887">
        <w:t>are not very weather sensitive, so the differences across the various weather scenarios are small. The reduction in load impacts across years is directly related to the declining enrollment forecast. The large difference between program-level and portfolio-level load impacts is due to the fact that the most responsive customers are dually enrolled in another DR program (typically BIP).</w:t>
      </w:r>
    </w:p>
    <w:p w14:paraId="6D3D1B30" w14:textId="77777777" w:rsidR="0024612B" w:rsidRDefault="0024612B" w:rsidP="0024612B"/>
    <w:p w14:paraId="5C48F480" w14:textId="58CF7AD6" w:rsidR="0024612B" w:rsidRPr="00852320" w:rsidRDefault="0024612B" w:rsidP="0024612B">
      <w:pPr>
        <w:pStyle w:val="FigureCaption"/>
        <w:keepNext/>
        <w:keepLines/>
      </w:pPr>
      <w:bookmarkStart w:id="265" w:name="_Toc227022618"/>
      <w:bookmarkStart w:id="266" w:name="_Toc227658427"/>
      <w:bookmarkStart w:id="267" w:name="_Toc254953022"/>
      <w:bookmarkStart w:id="268" w:name="_Toc257708747"/>
      <w:bookmarkStart w:id="269" w:name="_Toc289180156"/>
      <w:bookmarkStart w:id="270" w:name="_Toc326224731"/>
      <w:bookmarkStart w:id="271" w:name="_Toc383598056"/>
      <w:bookmarkStart w:id="272" w:name="_Toc415761927"/>
      <w:r w:rsidRPr="00852320">
        <w:lastRenderedPageBreak/>
        <w:t xml:space="preserve">Figure </w:t>
      </w:r>
      <w:r>
        <w:t>5</w:t>
      </w:r>
      <w:r w:rsidRPr="00852320">
        <w:t>.</w:t>
      </w:r>
      <w:r>
        <w:t>9</w:t>
      </w:r>
      <w:r w:rsidRPr="00852320">
        <w:t>:</w:t>
      </w:r>
      <w:bookmarkEnd w:id="265"/>
      <w:bookmarkEnd w:id="266"/>
      <w:bookmarkEnd w:id="267"/>
      <w:bookmarkEnd w:id="268"/>
      <w:bookmarkEnd w:id="269"/>
      <w:r w:rsidRPr="00852320">
        <w:t xml:space="preserve"> Average Hourly </w:t>
      </w:r>
      <w:r w:rsidR="00933F01" w:rsidRPr="00933F01">
        <w:rPr>
          <w:i/>
        </w:rPr>
        <w:t>Ex-ante</w:t>
      </w:r>
      <w:r w:rsidRPr="00852320">
        <w:t xml:space="preserve"> Load Impacts by Scenario and Year</w:t>
      </w:r>
      <w:bookmarkEnd w:id="270"/>
      <w:r w:rsidRPr="00852320">
        <w:t xml:space="preserve">, </w:t>
      </w:r>
      <w:r w:rsidRPr="00852320">
        <w:rPr>
          <w:i/>
        </w:rPr>
        <w:t>SCE</w:t>
      </w:r>
      <w:bookmarkEnd w:id="271"/>
      <w:bookmarkEnd w:id="272"/>
    </w:p>
    <w:p w14:paraId="75D8BA46" w14:textId="7F35237E" w:rsidR="0024612B" w:rsidRPr="00852320" w:rsidRDefault="00363887" w:rsidP="0024612B">
      <w:pPr>
        <w:keepNext/>
        <w:keepLines/>
      </w:pPr>
      <w:r>
        <w:rPr>
          <w:noProof/>
        </w:rPr>
        <w:drawing>
          <wp:inline distT="0" distB="0" distL="0" distR="0" wp14:anchorId="349F92AF" wp14:editId="18051A74">
            <wp:extent cx="5486400" cy="3981450"/>
            <wp:effectExtent l="0" t="0" r="0" b="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66EFF3A" w14:textId="77777777" w:rsidR="0024612B" w:rsidRDefault="0024612B" w:rsidP="0024612B"/>
    <w:p w14:paraId="3B4207D9" w14:textId="3826B5C5" w:rsidR="0024612B" w:rsidRDefault="0024612B" w:rsidP="0024612B">
      <w:r>
        <w:t>Table 5.4 shows the per-customer reference loads and load impacts by weather year and event-day scenario (program- versus portfolio-based) for the August 201</w:t>
      </w:r>
      <w:r w:rsidR="00363887">
        <w:t>5</w:t>
      </w:r>
      <w:r>
        <w:t xml:space="preserve"> monthly peak day.</w:t>
      </w:r>
    </w:p>
    <w:p w14:paraId="0BC06F16" w14:textId="7C924364" w:rsidR="00363887" w:rsidRDefault="00363887" w:rsidP="00363887">
      <w:pPr>
        <w:pStyle w:val="TableCaption"/>
        <w:keepNext/>
        <w:keepLines/>
      </w:pPr>
      <w:bookmarkStart w:id="273" w:name="_Toc415761893"/>
      <w:r>
        <w:t xml:space="preserve">Table 5.4: Per-customer </w:t>
      </w:r>
      <w:r w:rsidR="00933F01" w:rsidRPr="00933F01">
        <w:rPr>
          <w:i/>
        </w:rPr>
        <w:t>Ex-ante</w:t>
      </w:r>
      <w:r>
        <w:t xml:space="preserve"> Load Impacts, </w:t>
      </w:r>
      <w:r>
        <w:rPr>
          <w:i/>
        </w:rPr>
        <w:t>SCE</w:t>
      </w:r>
      <w:bookmarkEnd w:id="273"/>
    </w:p>
    <w:tbl>
      <w:tblPr>
        <w:tblStyle w:val="TableGrid"/>
        <w:tblW w:w="0" w:type="auto"/>
        <w:tblLook w:val="04A0" w:firstRow="1" w:lastRow="0" w:firstColumn="1" w:lastColumn="0" w:noHBand="0" w:noVBand="1"/>
      </w:tblPr>
      <w:tblGrid>
        <w:gridCol w:w="1731"/>
        <w:gridCol w:w="1727"/>
        <w:gridCol w:w="1739"/>
        <w:gridCol w:w="1716"/>
        <w:gridCol w:w="1717"/>
      </w:tblGrid>
      <w:tr w:rsidR="00363887" w14:paraId="76C98C4D" w14:textId="77777777" w:rsidTr="00C74943">
        <w:tc>
          <w:tcPr>
            <w:tcW w:w="1731" w:type="dxa"/>
            <w:shd w:val="clear" w:color="auto" w:fill="DEEAF6" w:themeFill="accent1" w:themeFillTint="33"/>
            <w:vAlign w:val="center"/>
          </w:tcPr>
          <w:p w14:paraId="707253D0" w14:textId="77777777" w:rsidR="00363887" w:rsidRPr="00E478AF" w:rsidRDefault="00363887" w:rsidP="00B15520">
            <w:pPr>
              <w:keepNext/>
              <w:keepLines/>
              <w:jc w:val="center"/>
              <w:rPr>
                <w:rFonts w:ascii="Arial" w:hAnsi="Arial" w:cs="Arial"/>
                <w:b/>
                <w:sz w:val="22"/>
                <w:szCs w:val="22"/>
              </w:rPr>
            </w:pPr>
            <w:r w:rsidRPr="00E478AF">
              <w:rPr>
                <w:rFonts w:ascii="Arial" w:hAnsi="Arial" w:cs="Arial"/>
                <w:b/>
                <w:sz w:val="22"/>
                <w:szCs w:val="22"/>
              </w:rPr>
              <w:t>Scenario</w:t>
            </w:r>
          </w:p>
        </w:tc>
        <w:tc>
          <w:tcPr>
            <w:tcW w:w="1727" w:type="dxa"/>
            <w:shd w:val="clear" w:color="auto" w:fill="DEEAF6" w:themeFill="accent1" w:themeFillTint="33"/>
            <w:vAlign w:val="center"/>
          </w:tcPr>
          <w:p w14:paraId="6D0654EF" w14:textId="77777777" w:rsidR="00363887" w:rsidRPr="00E478AF" w:rsidRDefault="00363887" w:rsidP="00B15520">
            <w:pPr>
              <w:keepNext/>
              <w:keepLines/>
              <w:jc w:val="center"/>
              <w:rPr>
                <w:rFonts w:ascii="Arial" w:hAnsi="Arial" w:cs="Arial"/>
                <w:b/>
                <w:sz w:val="22"/>
                <w:szCs w:val="22"/>
              </w:rPr>
            </w:pPr>
            <w:r w:rsidRPr="00E478AF">
              <w:rPr>
                <w:rFonts w:ascii="Arial" w:hAnsi="Arial" w:cs="Arial"/>
                <w:b/>
                <w:sz w:val="22"/>
                <w:szCs w:val="22"/>
              </w:rPr>
              <w:t>Weather Year</w:t>
            </w:r>
          </w:p>
        </w:tc>
        <w:tc>
          <w:tcPr>
            <w:tcW w:w="1739" w:type="dxa"/>
            <w:shd w:val="clear" w:color="auto" w:fill="DEEAF6" w:themeFill="accent1" w:themeFillTint="33"/>
            <w:vAlign w:val="center"/>
          </w:tcPr>
          <w:p w14:paraId="26F55720" w14:textId="77777777" w:rsidR="00363887" w:rsidRPr="00E478AF" w:rsidRDefault="00363887" w:rsidP="00B15520">
            <w:pPr>
              <w:keepNext/>
              <w:keepLines/>
              <w:jc w:val="center"/>
              <w:rPr>
                <w:rFonts w:ascii="Arial" w:hAnsi="Arial" w:cs="Arial"/>
                <w:b/>
                <w:sz w:val="22"/>
                <w:szCs w:val="22"/>
              </w:rPr>
            </w:pPr>
            <w:r w:rsidRPr="00E478AF">
              <w:rPr>
                <w:rFonts w:ascii="Arial" w:hAnsi="Arial" w:cs="Arial"/>
                <w:b/>
                <w:sz w:val="22"/>
                <w:szCs w:val="22"/>
              </w:rPr>
              <w:t>Reference Load (kW)</w:t>
            </w:r>
          </w:p>
        </w:tc>
        <w:tc>
          <w:tcPr>
            <w:tcW w:w="1716" w:type="dxa"/>
            <w:shd w:val="clear" w:color="auto" w:fill="DEEAF6" w:themeFill="accent1" w:themeFillTint="33"/>
            <w:vAlign w:val="center"/>
          </w:tcPr>
          <w:p w14:paraId="2D1C3BAC" w14:textId="77777777" w:rsidR="00363887" w:rsidRPr="00E478AF" w:rsidRDefault="00363887" w:rsidP="00B15520">
            <w:pPr>
              <w:keepNext/>
              <w:keepLines/>
              <w:jc w:val="center"/>
              <w:rPr>
                <w:rFonts w:ascii="Arial" w:hAnsi="Arial" w:cs="Arial"/>
                <w:b/>
                <w:sz w:val="22"/>
                <w:szCs w:val="22"/>
              </w:rPr>
            </w:pPr>
            <w:r w:rsidRPr="00E478AF">
              <w:rPr>
                <w:rFonts w:ascii="Arial" w:hAnsi="Arial" w:cs="Arial"/>
                <w:b/>
                <w:sz w:val="22"/>
                <w:szCs w:val="22"/>
              </w:rPr>
              <w:t>Load Impact (kW)</w:t>
            </w:r>
          </w:p>
        </w:tc>
        <w:tc>
          <w:tcPr>
            <w:tcW w:w="1717" w:type="dxa"/>
            <w:shd w:val="clear" w:color="auto" w:fill="DEEAF6" w:themeFill="accent1" w:themeFillTint="33"/>
            <w:vAlign w:val="center"/>
          </w:tcPr>
          <w:p w14:paraId="2F29EF2E" w14:textId="77777777" w:rsidR="00363887" w:rsidRPr="00E478AF" w:rsidRDefault="00363887" w:rsidP="00B15520">
            <w:pPr>
              <w:keepNext/>
              <w:keepLines/>
              <w:jc w:val="center"/>
              <w:rPr>
                <w:rFonts w:ascii="Arial" w:hAnsi="Arial" w:cs="Arial"/>
                <w:b/>
                <w:sz w:val="22"/>
                <w:szCs w:val="22"/>
              </w:rPr>
            </w:pPr>
            <w:r w:rsidRPr="00E478AF">
              <w:rPr>
                <w:rFonts w:ascii="Arial" w:hAnsi="Arial" w:cs="Arial"/>
                <w:b/>
                <w:sz w:val="22"/>
                <w:szCs w:val="22"/>
              </w:rPr>
              <w:t>% Load Impact</w:t>
            </w:r>
          </w:p>
        </w:tc>
      </w:tr>
      <w:tr w:rsidR="00C74943" w14:paraId="5E594434" w14:textId="77777777" w:rsidTr="00C74943">
        <w:tc>
          <w:tcPr>
            <w:tcW w:w="1731" w:type="dxa"/>
            <w:vMerge w:val="restart"/>
            <w:vAlign w:val="center"/>
          </w:tcPr>
          <w:p w14:paraId="2D1868F3" w14:textId="77777777" w:rsidR="00C74943" w:rsidRPr="00E478AF" w:rsidRDefault="00C74943" w:rsidP="00C74943">
            <w:pPr>
              <w:keepNext/>
              <w:keepLines/>
              <w:jc w:val="center"/>
              <w:rPr>
                <w:rFonts w:ascii="Arial" w:hAnsi="Arial" w:cs="Arial"/>
                <w:sz w:val="22"/>
                <w:szCs w:val="22"/>
              </w:rPr>
            </w:pPr>
            <w:r w:rsidRPr="00E478AF">
              <w:rPr>
                <w:rFonts w:ascii="Arial" w:hAnsi="Arial" w:cs="Arial"/>
                <w:sz w:val="22"/>
                <w:szCs w:val="22"/>
              </w:rPr>
              <w:t>Program-based</w:t>
            </w:r>
          </w:p>
        </w:tc>
        <w:tc>
          <w:tcPr>
            <w:tcW w:w="1727" w:type="dxa"/>
            <w:vAlign w:val="center"/>
          </w:tcPr>
          <w:p w14:paraId="1C7EF93D"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1-in-2</w:t>
            </w:r>
          </w:p>
        </w:tc>
        <w:tc>
          <w:tcPr>
            <w:tcW w:w="1739" w:type="dxa"/>
          </w:tcPr>
          <w:p w14:paraId="4E2C4D29" w14:textId="202CCC68"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904</w:t>
            </w:r>
          </w:p>
        </w:tc>
        <w:tc>
          <w:tcPr>
            <w:tcW w:w="1716" w:type="dxa"/>
          </w:tcPr>
          <w:p w14:paraId="1498F9FC" w14:textId="33656AD8"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143</w:t>
            </w:r>
          </w:p>
        </w:tc>
        <w:tc>
          <w:tcPr>
            <w:tcW w:w="1717" w:type="dxa"/>
          </w:tcPr>
          <w:p w14:paraId="4BBAF517" w14:textId="2A29CF3A"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15.8%</w:t>
            </w:r>
          </w:p>
        </w:tc>
      </w:tr>
      <w:tr w:rsidR="00C74943" w14:paraId="32841F98" w14:textId="77777777" w:rsidTr="00C74943">
        <w:tc>
          <w:tcPr>
            <w:tcW w:w="1731" w:type="dxa"/>
            <w:vMerge/>
            <w:vAlign w:val="center"/>
          </w:tcPr>
          <w:p w14:paraId="219A585B" w14:textId="77777777" w:rsidR="00C74943" w:rsidRPr="00E478AF" w:rsidRDefault="00C74943" w:rsidP="00C74943">
            <w:pPr>
              <w:keepNext/>
              <w:keepLines/>
              <w:jc w:val="center"/>
              <w:rPr>
                <w:rFonts w:ascii="Arial" w:hAnsi="Arial" w:cs="Arial"/>
                <w:sz w:val="22"/>
                <w:szCs w:val="22"/>
              </w:rPr>
            </w:pPr>
          </w:p>
        </w:tc>
        <w:tc>
          <w:tcPr>
            <w:tcW w:w="1727" w:type="dxa"/>
            <w:vAlign w:val="center"/>
          </w:tcPr>
          <w:p w14:paraId="393C7041"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1-in-10</w:t>
            </w:r>
          </w:p>
        </w:tc>
        <w:tc>
          <w:tcPr>
            <w:tcW w:w="1739" w:type="dxa"/>
          </w:tcPr>
          <w:p w14:paraId="5EAB353E" w14:textId="001D015C"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914</w:t>
            </w:r>
          </w:p>
        </w:tc>
        <w:tc>
          <w:tcPr>
            <w:tcW w:w="1716" w:type="dxa"/>
          </w:tcPr>
          <w:p w14:paraId="69267E3D" w14:textId="2082AC33"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143</w:t>
            </w:r>
          </w:p>
        </w:tc>
        <w:tc>
          <w:tcPr>
            <w:tcW w:w="1717" w:type="dxa"/>
          </w:tcPr>
          <w:p w14:paraId="04C5C786" w14:textId="6378476F"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15.7%</w:t>
            </w:r>
          </w:p>
        </w:tc>
      </w:tr>
      <w:tr w:rsidR="00C74943" w14:paraId="0D8600CC" w14:textId="77777777" w:rsidTr="00C74943">
        <w:tc>
          <w:tcPr>
            <w:tcW w:w="1731" w:type="dxa"/>
            <w:vMerge/>
            <w:vAlign w:val="center"/>
          </w:tcPr>
          <w:p w14:paraId="11BCE1BD" w14:textId="77777777" w:rsidR="00C74943" w:rsidRPr="00E478AF" w:rsidRDefault="00C74943" w:rsidP="00C74943">
            <w:pPr>
              <w:keepNext/>
              <w:keepLines/>
              <w:jc w:val="center"/>
              <w:rPr>
                <w:rFonts w:ascii="Arial" w:hAnsi="Arial" w:cs="Arial"/>
                <w:sz w:val="22"/>
                <w:szCs w:val="22"/>
              </w:rPr>
            </w:pPr>
          </w:p>
        </w:tc>
        <w:tc>
          <w:tcPr>
            <w:tcW w:w="1727" w:type="dxa"/>
            <w:vAlign w:val="center"/>
          </w:tcPr>
          <w:p w14:paraId="162CC922"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1-in-2</w:t>
            </w:r>
          </w:p>
        </w:tc>
        <w:tc>
          <w:tcPr>
            <w:tcW w:w="1739" w:type="dxa"/>
          </w:tcPr>
          <w:p w14:paraId="4F2CDD0A" w14:textId="49E23E5D"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905</w:t>
            </w:r>
          </w:p>
        </w:tc>
        <w:tc>
          <w:tcPr>
            <w:tcW w:w="1716" w:type="dxa"/>
          </w:tcPr>
          <w:p w14:paraId="0728B19C" w14:textId="39AB83F8"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143</w:t>
            </w:r>
          </w:p>
        </w:tc>
        <w:tc>
          <w:tcPr>
            <w:tcW w:w="1717" w:type="dxa"/>
          </w:tcPr>
          <w:p w14:paraId="3F327381" w14:textId="13CCE1F3"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15.9%</w:t>
            </w:r>
          </w:p>
        </w:tc>
      </w:tr>
      <w:tr w:rsidR="00C74943" w14:paraId="140D5DB0" w14:textId="77777777" w:rsidTr="00C74943">
        <w:tc>
          <w:tcPr>
            <w:tcW w:w="1731" w:type="dxa"/>
            <w:vMerge/>
            <w:vAlign w:val="center"/>
          </w:tcPr>
          <w:p w14:paraId="68D938EC" w14:textId="77777777" w:rsidR="00C74943" w:rsidRPr="00E478AF" w:rsidRDefault="00C74943" w:rsidP="00C74943">
            <w:pPr>
              <w:keepNext/>
              <w:keepLines/>
              <w:jc w:val="center"/>
              <w:rPr>
                <w:rFonts w:ascii="Arial" w:hAnsi="Arial" w:cs="Arial"/>
                <w:sz w:val="22"/>
                <w:szCs w:val="22"/>
              </w:rPr>
            </w:pPr>
          </w:p>
        </w:tc>
        <w:tc>
          <w:tcPr>
            <w:tcW w:w="1727" w:type="dxa"/>
            <w:vAlign w:val="center"/>
          </w:tcPr>
          <w:p w14:paraId="70699304"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1-in-10</w:t>
            </w:r>
          </w:p>
        </w:tc>
        <w:tc>
          <w:tcPr>
            <w:tcW w:w="1739" w:type="dxa"/>
          </w:tcPr>
          <w:p w14:paraId="1D3A0621" w14:textId="0ED2419E"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909</w:t>
            </w:r>
          </w:p>
        </w:tc>
        <w:tc>
          <w:tcPr>
            <w:tcW w:w="1716" w:type="dxa"/>
          </w:tcPr>
          <w:p w14:paraId="5609D543" w14:textId="3B77B7DF"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143</w:t>
            </w:r>
          </w:p>
        </w:tc>
        <w:tc>
          <w:tcPr>
            <w:tcW w:w="1717" w:type="dxa"/>
          </w:tcPr>
          <w:p w14:paraId="52474ACC" w14:textId="542FCDC0"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15.8%</w:t>
            </w:r>
          </w:p>
        </w:tc>
      </w:tr>
      <w:tr w:rsidR="00C74943" w14:paraId="0ABC9549" w14:textId="77777777" w:rsidTr="00C74943">
        <w:tc>
          <w:tcPr>
            <w:tcW w:w="1731" w:type="dxa"/>
            <w:vMerge w:val="restart"/>
            <w:vAlign w:val="center"/>
          </w:tcPr>
          <w:p w14:paraId="5FCFD9CA" w14:textId="77777777" w:rsidR="00C74943" w:rsidRPr="00E478AF" w:rsidRDefault="00C74943" w:rsidP="00C74943">
            <w:pPr>
              <w:keepNext/>
              <w:keepLines/>
              <w:jc w:val="center"/>
              <w:rPr>
                <w:rFonts w:ascii="Arial" w:hAnsi="Arial" w:cs="Arial"/>
                <w:sz w:val="22"/>
                <w:szCs w:val="22"/>
              </w:rPr>
            </w:pPr>
            <w:r w:rsidRPr="00E478AF">
              <w:rPr>
                <w:rFonts w:ascii="Arial" w:hAnsi="Arial" w:cs="Arial"/>
                <w:sz w:val="22"/>
                <w:szCs w:val="22"/>
              </w:rPr>
              <w:t>Portfolio-based</w:t>
            </w:r>
          </w:p>
        </w:tc>
        <w:tc>
          <w:tcPr>
            <w:tcW w:w="1727" w:type="dxa"/>
            <w:vAlign w:val="center"/>
          </w:tcPr>
          <w:p w14:paraId="43E304B5"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1-in-2</w:t>
            </w:r>
          </w:p>
        </w:tc>
        <w:tc>
          <w:tcPr>
            <w:tcW w:w="1739" w:type="dxa"/>
          </w:tcPr>
          <w:p w14:paraId="773863ED" w14:textId="7681109B"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609</w:t>
            </w:r>
          </w:p>
        </w:tc>
        <w:tc>
          <w:tcPr>
            <w:tcW w:w="1716" w:type="dxa"/>
          </w:tcPr>
          <w:p w14:paraId="495E6293" w14:textId="181742DD"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9</w:t>
            </w:r>
          </w:p>
        </w:tc>
        <w:tc>
          <w:tcPr>
            <w:tcW w:w="1717" w:type="dxa"/>
          </w:tcPr>
          <w:p w14:paraId="44F87566" w14:textId="27C97700"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1.6%</w:t>
            </w:r>
          </w:p>
        </w:tc>
      </w:tr>
      <w:tr w:rsidR="00C74943" w14:paraId="652C5BE5" w14:textId="77777777" w:rsidTr="00C74943">
        <w:tc>
          <w:tcPr>
            <w:tcW w:w="1731" w:type="dxa"/>
            <w:vMerge/>
            <w:vAlign w:val="center"/>
          </w:tcPr>
          <w:p w14:paraId="7FB7D314" w14:textId="77777777" w:rsidR="00C74943" w:rsidRPr="00E478AF" w:rsidRDefault="00C74943" w:rsidP="00C74943">
            <w:pPr>
              <w:keepNext/>
              <w:keepLines/>
              <w:jc w:val="center"/>
              <w:rPr>
                <w:rFonts w:ascii="Arial" w:hAnsi="Arial" w:cs="Arial"/>
                <w:sz w:val="22"/>
                <w:szCs w:val="22"/>
              </w:rPr>
            </w:pPr>
          </w:p>
        </w:tc>
        <w:tc>
          <w:tcPr>
            <w:tcW w:w="1727" w:type="dxa"/>
            <w:vAlign w:val="center"/>
          </w:tcPr>
          <w:p w14:paraId="4A29A3FF"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Utility </w:t>
            </w:r>
            <w:r w:rsidRPr="00E478AF">
              <w:rPr>
                <w:rFonts w:ascii="Arial" w:hAnsi="Arial" w:cs="Arial"/>
                <w:sz w:val="22"/>
                <w:szCs w:val="22"/>
              </w:rPr>
              <w:t>1-in-10</w:t>
            </w:r>
          </w:p>
        </w:tc>
        <w:tc>
          <w:tcPr>
            <w:tcW w:w="1739" w:type="dxa"/>
          </w:tcPr>
          <w:p w14:paraId="3A853FAF" w14:textId="1BB7EAAE"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620</w:t>
            </w:r>
          </w:p>
        </w:tc>
        <w:tc>
          <w:tcPr>
            <w:tcW w:w="1716" w:type="dxa"/>
          </w:tcPr>
          <w:p w14:paraId="24E8F272" w14:textId="5A87BC95"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10</w:t>
            </w:r>
          </w:p>
        </w:tc>
        <w:tc>
          <w:tcPr>
            <w:tcW w:w="1717" w:type="dxa"/>
          </w:tcPr>
          <w:p w14:paraId="17A9B909" w14:textId="1D64CC54"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1.5%</w:t>
            </w:r>
          </w:p>
        </w:tc>
      </w:tr>
      <w:tr w:rsidR="00C74943" w14:paraId="30AE3A36" w14:textId="77777777" w:rsidTr="00C74943">
        <w:tc>
          <w:tcPr>
            <w:tcW w:w="1731" w:type="dxa"/>
            <w:vMerge/>
            <w:vAlign w:val="center"/>
          </w:tcPr>
          <w:p w14:paraId="71CE40EC" w14:textId="77777777" w:rsidR="00C74943" w:rsidRPr="00E478AF" w:rsidRDefault="00C74943" w:rsidP="00C74943">
            <w:pPr>
              <w:keepNext/>
              <w:keepLines/>
              <w:jc w:val="center"/>
              <w:rPr>
                <w:rFonts w:ascii="Arial" w:hAnsi="Arial" w:cs="Arial"/>
                <w:sz w:val="22"/>
                <w:szCs w:val="22"/>
              </w:rPr>
            </w:pPr>
          </w:p>
        </w:tc>
        <w:tc>
          <w:tcPr>
            <w:tcW w:w="1727" w:type="dxa"/>
            <w:vAlign w:val="center"/>
          </w:tcPr>
          <w:p w14:paraId="109D8AAF"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1-in-2</w:t>
            </w:r>
          </w:p>
        </w:tc>
        <w:tc>
          <w:tcPr>
            <w:tcW w:w="1739" w:type="dxa"/>
          </w:tcPr>
          <w:p w14:paraId="06DE1340" w14:textId="40AC523F"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608</w:t>
            </w:r>
          </w:p>
        </w:tc>
        <w:tc>
          <w:tcPr>
            <w:tcW w:w="1716" w:type="dxa"/>
          </w:tcPr>
          <w:p w14:paraId="10953028" w14:textId="6CFD4D4B"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9</w:t>
            </w:r>
          </w:p>
        </w:tc>
        <w:tc>
          <w:tcPr>
            <w:tcW w:w="1717" w:type="dxa"/>
          </w:tcPr>
          <w:p w14:paraId="466520F5" w14:textId="3380F08D"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1.6%</w:t>
            </w:r>
          </w:p>
        </w:tc>
      </w:tr>
      <w:tr w:rsidR="00C74943" w14:paraId="0DDF20BA" w14:textId="77777777" w:rsidTr="00C74943">
        <w:tc>
          <w:tcPr>
            <w:tcW w:w="1731" w:type="dxa"/>
            <w:vMerge/>
            <w:vAlign w:val="center"/>
          </w:tcPr>
          <w:p w14:paraId="26FBEFFA" w14:textId="77777777" w:rsidR="00C74943" w:rsidRPr="00E478AF" w:rsidRDefault="00C74943" w:rsidP="00C74943">
            <w:pPr>
              <w:keepNext/>
              <w:keepLines/>
              <w:jc w:val="center"/>
              <w:rPr>
                <w:rFonts w:ascii="Arial" w:hAnsi="Arial" w:cs="Arial"/>
                <w:sz w:val="22"/>
                <w:szCs w:val="22"/>
              </w:rPr>
            </w:pPr>
          </w:p>
        </w:tc>
        <w:tc>
          <w:tcPr>
            <w:tcW w:w="1727" w:type="dxa"/>
            <w:vAlign w:val="center"/>
          </w:tcPr>
          <w:p w14:paraId="2A3212CD" w14:textId="77777777" w:rsidR="00C74943" w:rsidRPr="00E478AF" w:rsidRDefault="00C74943" w:rsidP="00C74943">
            <w:pPr>
              <w:keepNext/>
              <w:keepLines/>
              <w:jc w:val="center"/>
              <w:rPr>
                <w:rFonts w:ascii="Arial" w:hAnsi="Arial" w:cs="Arial"/>
                <w:sz w:val="22"/>
                <w:szCs w:val="22"/>
              </w:rPr>
            </w:pPr>
            <w:r>
              <w:rPr>
                <w:rFonts w:ascii="Arial" w:hAnsi="Arial" w:cs="Arial"/>
                <w:sz w:val="22"/>
                <w:szCs w:val="22"/>
              </w:rPr>
              <w:t xml:space="preserve">CAISO </w:t>
            </w:r>
            <w:r w:rsidRPr="00E478AF">
              <w:rPr>
                <w:rFonts w:ascii="Arial" w:hAnsi="Arial" w:cs="Arial"/>
                <w:sz w:val="22"/>
                <w:szCs w:val="22"/>
              </w:rPr>
              <w:t>1-in-10</w:t>
            </w:r>
          </w:p>
        </w:tc>
        <w:tc>
          <w:tcPr>
            <w:tcW w:w="1739" w:type="dxa"/>
          </w:tcPr>
          <w:p w14:paraId="5E08192A" w14:textId="1386AD99"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614</w:t>
            </w:r>
          </w:p>
        </w:tc>
        <w:tc>
          <w:tcPr>
            <w:tcW w:w="1716" w:type="dxa"/>
          </w:tcPr>
          <w:p w14:paraId="77BA402A" w14:textId="15B98A7F"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10</w:t>
            </w:r>
          </w:p>
        </w:tc>
        <w:tc>
          <w:tcPr>
            <w:tcW w:w="1717" w:type="dxa"/>
          </w:tcPr>
          <w:p w14:paraId="3F3C7847" w14:textId="7066A5B2" w:rsidR="00C74943" w:rsidRPr="00C74943" w:rsidRDefault="00C74943" w:rsidP="00C74943">
            <w:pPr>
              <w:keepNext/>
              <w:keepLines/>
              <w:jc w:val="center"/>
              <w:rPr>
                <w:rFonts w:ascii="Arial" w:hAnsi="Arial" w:cs="Arial"/>
                <w:sz w:val="22"/>
                <w:szCs w:val="22"/>
              </w:rPr>
            </w:pPr>
            <w:r w:rsidRPr="00C74943">
              <w:rPr>
                <w:rFonts w:ascii="Arial" w:hAnsi="Arial" w:cs="Arial"/>
                <w:sz w:val="22"/>
                <w:szCs w:val="22"/>
              </w:rPr>
              <w:t>1.6%</w:t>
            </w:r>
          </w:p>
        </w:tc>
      </w:tr>
    </w:tbl>
    <w:p w14:paraId="502A028F" w14:textId="79FB9E13" w:rsidR="0064122B" w:rsidRPr="0064122B" w:rsidRDefault="0064122B" w:rsidP="0064122B"/>
    <w:p w14:paraId="290705B2" w14:textId="77777777" w:rsidR="00AC2B22" w:rsidRDefault="00AC2B22" w:rsidP="00AC2B22">
      <w:pPr>
        <w:pStyle w:val="Heading3"/>
        <w:rPr>
          <w:sz w:val="22"/>
        </w:rPr>
      </w:pPr>
      <w:bookmarkStart w:id="274" w:name="_Toc383597949"/>
      <w:bookmarkStart w:id="275" w:name="_Toc326224661"/>
      <w:bookmarkStart w:id="276" w:name="_Toc415761844"/>
      <w:r>
        <w:rPr>
          <w:sz w:val="22"/>
        </w:rPr>
        <w:t>5</w:t>
      </w:r>
      <w:r w:rsidRPr="000334AA">
        <w:rPr>
          <w:sz w:val="22"/>
        </w:rPr>
        <w:t>.4.3 SDG&amp;E</w:t>
      </w:r>
      <w:bookmarkEnd w:id="274"/>
      <w:bookmarkEnd w:id="276"/>
    </w:p>
    <w:p w14:paraId="6E99ECBC" w14:textId="77777777" w:rsidR="00292772" w:rsidRDefault="00292772" w:rsidP="00292772">
      <w:r>
        <w:t>SDG&amp;E is forecasting that enrollment in its two DBP programs will continue at current levels for the entire forecast period. Because enrollments do not vary across years and SDG&amp;E consists of only one LCA, fewer results are presented for SDG&amp;E than for PG&amp;E and SCE.</w:t>
      </w:r>
    </w:p>
    <w:p w14:paraId="6163FB45" w14:textId="77777777" w:rsidR="00C27449" w:rsidRDefault="00C27449" w:rsidP="00292772"/>
    <w:p w14:paraId="73B1EEC9" w14:textId="59656F36" w:rsidR="00C27449" w:rsidRDefault="00C27449" w:rsidP="00292772">
      <w:r>
        <w:t xml:space="preserve">SDG&amp;E differs from the DBPs in place at SCE and PG&amp;E in that the event hours vary from event to event and across the DA and DO variants. </w:t>
      </w:r>
      <w:r w:rsidR="00E0382C">
        <w:t xml:space="preserve">Therefore, when constructing the </w:t>
      </w:r>
      <w:r w:rsidR="00933F01" w:rsidRPr="00933F01">
        <w:rPr>
          <w:i/>
        </w:rPr>
        <w:t>ex-ante</w:t>
      </w:r>
      <w:r w:rsidR="00E0382C">
        <w:t xml:space="preserve"> load impacts from the </w:t>
      </w:r>
      <w:r w:rsidR="00933F01" w:rsidRPr="00933F01">
        <w:rPr>
          <w:i/>
        </w:rPr>
        <w:t>ex-post</w:t>
      </w:r>
      <w:r w:rsidR="00E0382C">
        <w:t xml:space="preserve"> estimates, we followed the methods we have implemented in the aggregator programs (e.g., CBP), which also have varying event hours. Specifically, we forecast percentage load impacts for four hour types: pre-event hours, event hours, the hour following the event, and all subsequent hours. These period-specific percentage load impacts are then applied to the reference loads in the corresponding hours of the </w:t>
      </w:r>
      <w:r w:rsidR="00933F01" w:rsidRPr="00933F01">
        <w:rPr>
          <w:i/>
        </w:rPr>
        <w:t>ex-ante</w:t>
      </w:r>
      <w:r w:rsidR="00E0382C">
        <w:t xml:space="preserve"> period (in which the event window is 1:00 to 6:00 p.m. from April through October and 4:00 to 9:00 p.m. from November to March).</w:t>
      </w:r>
    </w:p>
    <w:p w14:paraId="0AF82A4F" w14:textId="77777777" w:rsidR="00E0382C" w:rsidRDefault="00E0382C" w:rsidP="00292772"/>
    <w:p w14:paraId="6D7BD05E" w14:textId="5617D82F" w:rsidR="00E0382C" w:rsidRDefault="00E0382C" w:rsidP="00292772">
      <w:r>
        <w:t xml:space="preserve">Note that DBP-DA load impacts have been highly variable across the PY2013 and PY2014 events. Because the customer had higher response during PY2013, our </w:t>
      </w:r>
      <w:r w:rsidR="00933F01" w:rsidRPr="00933F01">
        <w:rPr>
          <w:i/>
        </w:rPr>
        <w:t>ex-ante</w:t>
      </w:r>
      <w:r>
        <w:t xml:space="preserve"> load impacts are higher than we estimated for the </w:t>
      </w:r>
      <w:r w:rsidR="00933F01" w:rsidRPr="00933F01">
        <w:rPr>
          <w:i/>
        </w:rPr>
        <w:t>ex-post</w:t>
      </w:r>
      <w:r>
        <w:t xml:space="preserve"> events. The DBP-DO load impacts have varied somewhat as well, but more consistently show significant load reductions.</w:t>
      </w:r>
    </w:p>
    <w:p w14:paraId="221BE31C" w14:textId="77777777" w:rsidR="00292772" w:rsidRDefault="00292772" w:rsidP="00292772"/>
    <w:p w14:paraId="22E4687D" w14:textId="2778D74D" w:rsidR="00292772" w:rsidRDefault="00292772" w:rsidP="00292772">
      <w:r>
        <w:t xml:space="preserve">Figures 5.10 and 5.11 show the August utility-specific 1-in-2 </w:t>
      </w:r>
      <w:r w:rsidR="00933F01" w:rsidRPr="00933F01">
        <w:rPr>
          <w:i/>
        </w:rPr>
        <w:t>ex-ante</w:t>
      </w:r>
      <w:r>
        <w:t xml:space="preserve"> hourly reference loads, observed loads, and load impacts for the DBP-DA and DBP-DO programs, respectively. </w:t>
      </w:r>
    </w:p>
    <w:p w14:paraId="2F89498B" w14:textId="77777777" w:rsidR="00292772" w:rsidRDefault="00292772" w:rsidP="00292772"/>
    <w:p w14:paraId="40D733EF" w14:textId="77777777" w:rsidR="00292772" w:rsidRDefault="00292772" w:rsidP="00292772"/>
    <w:p w14:paraId="1AF03AE2" w14:textId="2A6C62F0" w:rsidR="00292772" w:rsidRPr="008B552C" w:rsidRDefault="00292772" w:rsidP="00292772">
      <w:pPr>
        <w:pStyle w:val="FigureCaption"/>
        <w:keepNext/>
        <w:keepLines/>
        <w:ind w:left="180" w:right="180"/>
      </w:pPr>
      <w:bookmarkStart w:id="277" w:name="_Toc351386784"/>
      <w:bookmarkStart w:id="278" w:name="_Toc383598057"/>
      <w:bookmarkStart w:id="279" w:name="_Toc415761928"/>
      <w:r w:rsidRPr="008B552C">
        <w:t xml:space="preserve">Figure </w:t>
      </w:r>
      <w:r>
        <w:t>5</w:t>
      </w:r>
      <w:r w:rsidRPr="008B552C">
        <w:t>.1</w:t>
      </w:r>
      <w:r>
        <w:t>0</w:t>
      </w:r>
      <w:r w:rsidRPr="008B552C">
        <w:t xml:space="preserve">: SDG&amp;E </w:t>
      </w:r>
      <w:r>
        <w:t xml:space="preserve">DBP-DA </w:t>
      </w:r>
      <w:r w:rsidRPr="008B552C">
        <w:t xml:space="preserve">Hourly Event Day Load Impacts for the Typical Event Day in a </w:t>
      </w:r>
      <w:r>
        <w:t xml:space="preserve">Utility-Specific </w:t>
      </w:r>
      <w:r w:rsidRPr="008B552C">
        <w:t>1</w:t>
      </w:r>
      <w:r w:rsidRPr="008B552C">
        <w:noBreakHyphen/>
        <w:t xml:space="preserve">in-2 Weather Year for </w:t>
      </w:r>
      <w:bookmarkEnd w:id="277"/>
      <w:bookmarkEnd w:id="278"/>
      <w:r>
        <w:t>August</w:t>
      </w:r>
      <w:bookmarkEnd w:id="279"/>
    </w:p>
    <w:p w14:paraId="0D0FA887" w14:textId="1F6DC03B" w:rsidR="00292772" w:rsidRDefault="00D9673D" w:rsidP="00D9673D">
      <w:pPr>
        <w:jc w:val="center"/>
      </w:pPr>
      <w:r w:rsidRPr="005D4700">
        <w:t>These results have been removed due to confidentiality concerns.</w:t>
      </w:r>
    </w:p>
    <w:p w14:paraId="2CC0EDE7" w14:textId="77777777" w:rsidR="00292772" w:rsidRDefault="00292772" w:rsidP="00292772"/>
    <w:p w14:paraId="00738CDD" w14:textId="2CFE1452" w:rsidR="00292772" w:rsidRPr="008B552C" w:rsidRDefault="00292772" w:rsidP="00292772">
      <w:pPr>
        <w:pStyle w:val="FigureCaption"/>
        <w:keepNext/>
        <w:keepLines/>
        <w:ind w:left="180" w:right="180"/>
      </w:pPr>
      <w:bookmarkStart w:id="280" w:name="_Toc383598058"/>
      <w:bookmarkStart w:id="281" w:name="_Toc415761929"/>
      <w:r>
        <w:t>Figure 5</w:t>
      </w:r>
      <w:r w:rsidRPr="008B552C">
        <w:t>.1</w:t>
      </w:r>
      <w:r>
        <w:t>1</w:t>
      </w:r>
      <w:r w:rsidRPr="008B552C">
        <w:t xml:space="preserve">: SDG&amp;E </w:t>
      </w:r>
      <w:r>
        <w:t xml:space="preserve">DBP-DO </w:t>
      </w:r>
      <w:r w:rsidRPr="008B552C">
        <w:t xml:space="preserve">Hourly Event Day Load Impacts for the Typical Event Day in a </w:t>
      </w:r>
      <w:r>
        <w:t xml:space="preserve">Utility-Specific </w:t>
      </w:r>
      <w:r w:rsidRPr="008B552C">
        <w:t>1</w:t>
      </w:r>
      <w:r w:rsidRPr="008B552C">
        <w:noBreakHyphen/>
        <w:t xml:space="preserve">in-2 Weather Year for </w:t>
      </w:r>
      <w:bookmarkEnd w:id="280"/>
      <w:r>
        <w:t>August</w:t>
      </w:r>
      <w:bookmarkEnd w:id="281"/>
    </w:p>
    <w:p w14:paraId="6BEFBADF" w14:textId="1992B100" w:rsidR="00292772" w:rsidRDefault="00D9673D" w:rsidP="00D9673D">
      <w:pPr>
        <w:jc w:val="center"/>
      </w:pPr>
      <w:r w:rsidRPr="005D4700">
        <w:t>These results have been removed due to confidentiality concerns.</w:t>
      </w:r>
    </w:p>
    <w:p w14:paraId="66E0ECE1" w14:textId="77777777" w:rsidR="00292772" w:rsidRDefault="00292772" w:rsidP="00292772"/>
    <w:p w14:paraId="5DEC6075" w14:textId="300909CF" w:rsidR="00292772" w:rsidRDefault="00AD70E5" w:rsidP="00292772">
      <w:r>
        <w:t xml:space="preserve">Figures 5.12 and 5.13 </w:t>
      </w:r>
      <w:r w:rsidR="00292772">
        <w:t>show the monthly forecast of monthly load impacts for each of SDG&amp;E’s Demand Bidding Programs</w:t>
      </w:r>
      <w:r>
        <w:t xml:space="preserve"> by weather year type</w:t>
      </w:r>
      <w:r w:rsidR="00292772">
        <w:t xml:space="preserve">. Because enrollments are forecast to remain the same during the </w:t>
      </w:r>
      <w:r w:rsidR="00933F01" w:rsidRPr="00933F01">
        <w:rPr>
          <w:i/>
        </w:rPr>
        <w:t>ex-ante</w:t>
      </w:r>
      <w:r w:rsidR="00292772">
        <w:t xml:space="preserve"> forecast timeframe, these results apply to each of 201</w:t>
      </w:r>
      <w:r>
        <w:t>5</w:t>
      </w:r>
      <w:r w:rsidR="00292772">
        <w:t xml:space="preserve"> through 202</w:t>
      </w:r>
      <w:r>
        <w:t>5</w:t>
      </w:r>
      <w:r w:rsidR="00292772">
        <w:t xml:space="preserve">. </w:t>
      </w:r>
    </w:p>
    <w:p w14:paraId="503D57D9" w14:textId="77777777" w:rsidR="00292772" w:rsidRDefault="00292772" w:rsidP="00292772"/>
    <w:p w14:paraId="5C5FF686" w14:textId="463D7ADB" w:rsidR="00292772" w:rsidRDefault="00292772" w:rsidP="00292772">
      <w:r>
        <w:t>For the DBP-D</w:t>
      </w:r>
      <w:r w:rsidR="001C1F3A">
        <w:t>A</w:t>
      </w:r>
      <w:r>
        <w:t xml:space="preserve"> program, the level of the load impact is </w:t>
      </w:r>
      <w:r w:rsidR="001C1F3A">
        <w:t xml:space="preserve">significantly higher in November and December than the other months. This is because one of the service accounts has very low loads in January through October compared to November and December. Because we have estimated a high percentage load impact for this service account in the </w:t>
      </w:r>
      <w:r w:rsidR="00933F01" w:rsidRPr="00933F01">
        <w:rPr>
          <w:i/>
        </w:rPr>
        <w:t>ex-post</w:t>
      </w:r>
      <w:r w:rsidR="001C1F3A">
        <w:t xml:space="preserve"> estimates, the increase in the load in those months has a noticeable effect on the program-level load impact. </w:t>
      </w:r>
    </w:p>
    <w:p w14:paraId="68815296" w14:textId="77777777" w:rsidR="00292772" w:rsidRDefault="00292772" w:rsidP="00292772"/>
    <w:p w14:paraId="77C0BCEB" w14:textId="5B5EA42F" w:rsidR="00AD70E5" w:rsidRDefault="00AD70E5" w:rsidP="00AD70E5">
      <w:pPr>
        <w:pStyle w:val="FigureCaption"/>
        <w:keepNext/>
        <w:keepLines/>
      </w:pPr>
      <w:bookmarkStart w:id="282" w:name="_Toc415761930"/>
      <w:r>
        <w:lastRenderedPageBreak/>
        <w:t xml:space="preserve">Figure 5.12: </w:t>
      </w:r>
      <w:r w:rsidR="001C1F3A">
        <w:t xml:space="preserve">SDG&amp;E </w:t>
      </w:r>
      <w:r>
        <w:t>DBP-DA Load Impacts by Month and Weather Year</w:t>
      </w:r>
      <w:bookmarkEnd w:id="282"/>
    </w:p>
    <w:p w14:paraId="41AF2EC4" w14:textId="40B7FF09" w:rsidR="00AD70E5" w:rsidRDefault="00D9673D" w:rsidP="00D9673D">
      <w:pPr>
        <w:keepNext/>
        <w:keepLines/>
        <w:jc w:val="center"/>
      </w:pPr>
      <w:r w:rsidRPr="005D4700">
        <w:t>These results have been removed due to confidentiality concerns.</w:t>
      </w:r>
    </w:p>
    <w:p w14:paraId="381C799C" w14:textId="77777777" w:rsidR="00AD70E5" w:rsidRDefault="00AD70E5" w:rsidP="00292772"/>
    <w:p w14:paraId="1B7358F0" w14:textId="0210D8ED" w:rsidR="00AD70E5" w:rsidRDefault="001C1F3A" w:rsidP="00292772">
      <w:r>
        <w:t>Figure 5.13 shows the same information for DBP-DO. This customer is quite weather sensitive, as reflected in the occasionally large differences in load impacts across weather scenarios. In addition, the customer’s load varies significantly from month to month (and sometimes day to day), so that the level of the load impact displays substantial variation across months and weather scenarios.</w:t>
      </w:r>
    </w:p>
    <w:p w14:paraId="10B1CE16" w14:textId="77777777" w:rsidR="00AD70E5" w:rsidRDefault="00AD70E5" w:rsidP="00292772"/>
    <w:p w14:paraId="3327B53F" w14:textId="58CD7FBC" w:rsidR="00AD70E5" w:rsidRDefault="00AD70E5" w:rsidP="00AD70E5">
      <w:pPr>
        <w:pStyle w:val="FigureCaption"/>
        <w:keepNext/>
        <w:keepLines/>
      </w:pPr>
      <w:bookmarkStart w:id="283" w:name="_Toc415761931"/>
      <w:r>
        <w:t xml:space="preserve">Figure 5.13: </w:t>
      </w:r>
      <w:r w:rsidR="001C1F3A">
        <w:t xml:space="preserve">SDG&amp;E </w:t>
      </w:r>
      <w:r>
        <w:t>DBP-DO Load Impacts by Month and Weather Year</w:t>
      </w:r>
      <w:bookmarkEnd w:id="283"/>
    </w:p>
    <w:p w14:paraId="75EFECD9" w14:textId="748B5612" w:rsidR="00AD70E5" w:rsidRDefault="00D9673D" w:rsidP="00D9673D">
      <w:pPr>
        <w:keepNext/>
        <w:keepLines/>
        <w:jc w:val="center"/>
      </w:pPr>
      <w:r w:rsidRPr="005D4700">
        <w:t>These results have been removed due to confidentiality concerns.</w:t>
      </w:r>
    </w:p>
    <w:p w14:paraId="1561055C" w14:textId="18667828" w:rsidR="00AD70E5" w:rsidRDefault="00AD70E5" w:rsidP="00292772"/>
    <w:p w14:paraId="6D2BE31D" w14:textId="068BCAAF" w:rsidR="00A72CC4" w:rsidRDefault="00DD01A1" w:rsidP="00A72CC4">
      <w:pPr>
        <w:pStyle w:val="Heading1"/>
      </w:pPr>
      <w:bookmarkStart w:id="284" w:name="_Toc415761845"/>
      <w:bookmarkEnd w:id="275"/>
      <w:r>
        <w:t>6</w:t>
      </w:r>
      <w:r w:rsidR="00A72CC4">
        <w:t>. Comparisons of Results</w:t>
      </w:r>
      <w:bookmarkEnd w:id="284"/>
    </w:p>
    <w:p w14:paraId="19A62F24" w14:textId="77777777" w:rsidR="002B724E" w:rsidRDefault="002B724E" w:rsidP="002B724E">
      <w:r>
        <w:t>In this section, we present several comparisons of load impacts for each utility:</w:t>
      </w:r>
    </w:p>
    <w:p w14:paraId="176B30CD" w14:textId="310235E2" w:rsidR="002B724E" w:rsidRDefault="00933F01" w:rsidP="002B724E">
      <w:pPr>
        <w:numPr>
          <w:ilvl w:val="0"/>
          <w:numId w:val="10"/>
        </w:numPr>
      </w:pPr>
      <w:r w:rsidRPr="00933F01">
        <w:rPr>
          <w:i/>
        </w:rPr>
        <w:t>Ex-post</w:t>
      </w:r>
      <w:r w:rsidR="002B724E">
        <w:t xml:space="preserve"> load impacts from the current and previous studies;</w:t>
      </w:r>
    </w:p>
    <w:p w14:paraId="063BEF35" w14:textId="63EDC6BA" w:rsidR="002B724E" w:rsidRDefault="00933F01" w:rsidP="002B724E">
      <w:pPr>
        <w:numPr>
          <w:ilvl w:val="0"/>
          <w:numId w:val="10"/>
        </w:numPr>
      </w:pPr>
      <w:r w:rsidRPr="00933F01">
        <w:rPr>
          <w:i/>
        </w:rPr>
        <w:t>Ex-ante</w:t>
      </w:r>
      <w:r w:rsidR="002B724E">
        <w:t xml:space="preserve"> load impacts from the current and previous studies; </w:t>
      </w:r>
    </w:p>
    <w:p w14:paraId="445489B6" w14:textId="4386476A" w:rsidR="002B724E" w:rsidRDefault="002B724E" w:rsidP="002B724E">
      <w:pPr>
        <w:numPr>
          <w:ilvl w:val="0"/>
          <w:numId w:val="10"/>
        </w:numPr>
      </w:pPr>
      <w:r>
        <w:t xml:space="preserve">Previous </w:t>
      </w:r>
      <w:r w:rsidR="00933F01" w:rsidRPr="00933F01">
        <w:rPr>
          <w:i/>
        </w:rPr>
        <w:t>ex-ante</w:t>
      </w:r>
      <w:r>
        <w:t xml:space="preserve"> and current </w:t>
      </w:r>
      <w:r w:rsidR="00933F01" w:rsidRPr="00933F01">
        <w:rPr>
          <w:i/>
        </w:rPr>
        <w:t>ex-post</w:t>
      </w:r>
      <w:r>
        <w:t xml:space="preserve"> load impacts; and</w:t>
      </w:r>
    </w:p>
    <w:p w14:paraId="7A33F390" w14:textId="5806361B" w:rsidR="002B724E" w:rsidRDefault="002B724E" w:rsidP="002B724E">
      <w:pPr>
        <w:numPr>
          <w:ilvl w:val="0"/>
          <w:numId w:val="10"/>
        </w:numPr>
      </w:pPr>
      <w:r>
        <w:t xml:space="preserve">Current </w:t>
      </w:r>
      <w:r w:rsidR="00933F01" w:rsidRPr="00933F01">
        <w:rPr>
          <w:i/>
        </w:rPr>
        <w:t>ex-post</w:t>
      </w:r>
      <w:r>
        <w:t xml:space="preserve"> and </w:t>
      </w:r>
      <w:r w:rsidR="00933F01" w:rsidRPr="00933F01">
        <w:rPr>
          <w:i/>
        </w:rPr>
        <w:t>ex-ante</w:t>
      </w:r>
      <w:r>
        <w:t xml:space="preserve"> load impacts.</w:t>
      </w:r>
    </w:p>
    <w:p w14:paraId="3613E375" w14:textId="77777777" w:rsidR="002B724E" w:rsidRDefault="002B724E" w:rsidP="002B724E"/>
    <w:p w14:paraId="3409DAFE" w14:textId="61E683F0" w:rsidR="002B724E" w:rsidRDefault="002B724E" w:rsidP="002B724E">
      <w:r>
        <w:t>In the above “current study” refers to this report, which is based on findings from the 201</w:t>
      </w:r>
      <w:r w:rsidR="00A017C3">
        <w:t>4</w:t>
      </w:r>
      <w:r>
        <w:t xml:space="preserve"> program year; and “previous study” refers to the report that was developed following the 201</w:t>
      </w:r>
      <w:r w:rsidR="00A017C3">
        <w:t>3</w:t>
      </w:r>
      <w:r>
        <w:t xml:space="preserve"> program year. </w:t>
      </w:r>
    </w:p>
    <w:p w14:paraId="792313CB" w14:textId="77777777" w:rsidR="002B724E" w:rsidRDefault="002B724E" w:rsidP="002B724E">
      <w:pPr>
        <w:pStyle w:val="Heading2"/>
      </w:pPr>
      <w:bookmarkStart w:id="285" w:name="_Toc383597951"/>
      <w:bookmarkStart w:id="286" w:name="_Toc415761846"/>
      <w:r>
        <w:t>6.1 PG&amp;E</w:t>
      </w:r>
      <w:bookmarkEnd w:id="285"/>
      <w:bookmarkEnd w:id="286"/>
    </w:p>
    <w:p w14:paraId="51BB4490" w14:textId="6395E7CD" w:rsidR="002B724E" w:rsidRDefault="002B724E" w:rsidP="002B724E">
      <w:pPr>
        <w:pStyle w:val="Heading3"/>
      </w:pPr>
      <w:bookmarkStart w:id="287" w:name="_Toc383597952"/>
      <w:bookmarkStart w:id="288" w:name="_Toc415761847"/>
      <w:r>
        <w:t xml:space="preserve">6.1.1 Previous versus current </w:t>
      </w:r>
      <w:r w:rsidR="00933F01" w:rsidRPr="00933F01">
        <w:rPr>
          <w:i/>
        </w:rPr>
        <w:t>ex-post</w:t>
      </w:r>
      <w:bookmarkEnd w:id="287"/>
      <w:bookmarkEnd w:id="288"/>
    </w:p>
    <w:p w14:paraId="18421EDC" w14:textId="07C574E7" w:rsidR="002B724E" w:rsidRDefault="002B724E" w:rsidP="002B724E">
      <w:r>
        <w:t xml:space="preserve">Table 6.1 shows the average event-hour reference loads and load impacts for the three previous program years. Note that </w:t>
      </w:r>
      <w:r w:rsidR="00A017C3">
        <w:t xml:space="preserve">in both PY2013 and PY2014 there were </w:t>
      </w:r>
      <w:r>
        <w:t xml:space="preserve">the three </w:t>
      </w:r>
      <w:r w:rsidR="00A802C6">
        <w:t>locational</w:t>
      </w:r>
      <w:r>
        <w:t xml:space="preserve"> events</w:t>
      </w:r>
      <w:r w:rsidR="00A802C6">
        <w:t xml:space="preserve"> dispatched</w:t>
      </w:r>
      <w:r>
        <w:t xml:space="preserve"> (which only </w:t>
      </w:r>
      <w:r w:rsidR="00A802C6">
        <w:t xml:space="preserve">applied to </w:t>
      </w:r>
      <w:r>
        <w:t xml:space="preserve">a sub-set of PG&amp;E’s service territory) </w:t>
      </w:r>
      <w:r w:rsidR="00A017C3">
        <w:t xml:space="preserve">that </w:t>
      </w:r>
      <w:r>
        <w:t xml:space="preserve">are excluded from the calculations. </w:t>
      </w:r>
      <w:r w:rsidR="00A017C3">
        <w:t>T</w:t>
      </w:r>
      <w:r>
        <w:t xml:space="preserve">he event window was hours-ending 13 through 20 for the </w:t>
      </w:r>
      <w:r w:rsidR="00A017C3">
        <w:t>included events in all three p</w:t>
      </w:r>
      <w:r>
        <w:t>rogram years.</w:t>
      </w:r>
    </w:p>
    <w:p w14:paraId="3BA68988" w14:textId="77777777" w:rsidR="002B724E" w:rsidRDefault="002B724E" w:rsidP="002B724E"/>
    <w:p w14:paraId="7EF6F54D" w14:textId="3F0A9672" w:rsidR="002B724E" w:rsidRPr="00376F46" w:rsidRDefault="002B724E" w:rsidP="002B724E">
      <w:pPr>
        <w:pStyle w:val="TableCaption"/>
        <w:keepNext/>
        <w:keepLines/>
      </w:pPr>
      <w:bookmarkStart w:id="289" w:name="_Toc383598016"/>
      <w:bookmarkStart w:id="290" w:name="_Toc415761894"/>
      <w:r w:rsidRPr="00376F46">
        <w:lastRenderedPageBreak/>
        <w:t xml:space="preserve">Table </w:t>
      </w:r>
      <w:r>
        <w:t>6</w:t>
      </w:r>
      <w:r w:rsidRPr="00376F46">
        <w:t>.</w:t>
      </w:r>
      <w:r>
        <w:t>1</w:t>
      </w:r>
      <w:r w:rsidRPr="00376F46">
        <w:t xml:space="preserve">: Comparison of </w:t>
      </w:r>
      <w:r>
        <w:t xml:space="preserve">Average Event-day </w:t>
      </w:r>
      <w:r w:rsidR="00933F01" w:rsidRPr="00933F01">
        <w:rPr>
          <w:i/>
        </w:rPr>
        <w:t>Ex-post</w:t>
      </w:r>
      <w:r>
        <w:t xml:space="preserve"> </w:t>
      </w:r>
      <w:r w:rsidRPr="00376F46">
        <w:t>Impacts (in MW) in PY 201</w:t>
      </w:r>
      <w:r w:rsidR="00A017C3">
        <w:t>2</w:t>
      </w:r>
      <w:r w:rsidRPr="00376F46">
        <w:t xml:space="preserve"> </w:t>
      </w:r>
      <w:r>
        <w:t xml:space="preserve">through </w:t>
      </w:r>
      <w:r w:rsidRPr="00376F46">
        <w:t>PY 201</w:t>
      </w:r>
      <w:r w:rsidR="00A017C3">
        <w:t>4</w:t>
      </w:r>
      <w:r w:rsidRPr="00376F46">
        <w:t xml:space="preserve">, </w:t>
      </w:r>
      <w:r w:rsidRPr="00376F46">
        <w:rPr>
          <w:i/>
        </w:rPr>
        <w:t>PG&amp;E</w:t>
      </w:r>
      <w:bookmarkEnd w:id="289"/>
      <w:bookmarkEnd w:id="2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731"/>
        <w:gridCol w:w="1512"/>
        <w:gridCol w:w="1512"/>
        <w:gridCol w:w="1512"/>
      </w:tblGrid>
      <w:tr w:rsidR="002B724E" w14:paraId="01830591" w14:textId="77777777" w:rsidTr="00512433">
        <w:trPr>
          <w:jc w:val="center"/>
        </w:trPr>
        <w:tc>
          <w:tcPr>
            <w:tcW w:w="1295" w:type="dxa"/>
            <w:shd w:val="clear" w:color="auto" w:fill="D9E2F3"/>
            <w:vAlign w:val="center"/>
          </w:tcPr>
          <w:p w14:paraId="632D9570"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Level</w:t>
            </w:r>
          </w:p>
        </w:tc>
        <w:tc>
          <w:tcPr>
            <w:tcW w:w="1731" w:type="dxa"/>
            <w:shd w:val="clear" w:color="auto" w:fill="D9E2F3"/>
            <w:vAlign w:val="center"/>
          </w:tcPr>
          <w:p w14:paraId="66CADD4D"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1512" w:type="dxa"/>
            <w:shd w:val="clear" w:color="auto" w:fill="D9E2F3"/>
            <w:vAlign w:val="center"/>
          </w:tcPr>
          <w:p w14:paraId="0F98B73B" w14:textId="77777777" w:rsidR="002B724E" w:rsidRPr="009C75E1" w:rsidRDefault="002B724E" w:rsidP="00512433">
            <w:pPr>
              <w:keepNext/>
              <w:keepLines/>
              <w:jc w:val="center"/>
              <w:rPr>
                <w:rFonts w:ascii="Arial" w:hAnsi="Arial" w:cs="Arial"/>
                <w:b/>
                <w:sz w:val="20"/>
                <w:szCs w:val="20"/>
              </w:rPr>
            </w:pPr>
          </w:p>
          <w:p w14:paraId="70BA0741" w14:textId="3908AB94" w:rsidR="002B724E" w:rsidRPr="009C75E1" w:rsidRDefault="00A017C3" w:rsidP="00512433">
            <w:pPr>
              <w:keepNext/>
              <w:keepLines/>
              <w:jc w:val="center"/>
              <w:rPr>
                <w:rFonts w:ascii="Arial" w:hAnsi="Arial" w:cs="Arial"/>
                <w:b/>
                <w:sz w:val="20"/>
                <w:szCs w:val="20"/>
              </w:rPr>
            </w:pPr>
            <w:r>
              <w:rPr>
                <w:rFonts w:ascii="Arial" w:hAnsi="Arial" w:cs="Arial"/>
                <w:b/>
                <w:sz w:val="20"/>
                <w:szCs w:val="20"/>
              </w:rPr>
              <w:t>PY2012</w:t>
            </w:r>
          </w:p>
          <w:p w14:paraId="2BB54AFD" w14:textId="77777777" w:rsidR="002B724E" w:rsidRPr="009C75E1" w:rsidRDefault="002B724E" w:rsidP="00512433">
            <w:pPr>
              <w:keepNext/>
              <w:keepLines/>
              <w:jc w:val="center"/>
              <w:rPr>
                <w:rFonts w:ascii="Arial" w:hAnsi="Arial" w:cs="Arial"/>
                <w:b/>
                <w:sz w:val="20"/>
                <w:szCs w:val="20"/>
              </w:rPr>
            </w:pPr>
          </w:p>
        </w:tc>
        <w:tc>
          <w:tcPr>
            <w:tcW w:w="1512" w:type="dxa"/>
            <w:shd w:val="clear" w:color="auto" w:fill="D9E2F3"/>
            <w:vAlign w:val="center"/>
          </w:tcPr>
          <w:p w14:paraId="650AA7D8" w14:textId="6CE95A7F" w:rsidR="002B724E" w:rsidRPr="009C75E1" w:rsidRDefault="002B724E" w:rsidP="00A017C3">
            <w:pPr>
              <w:keepNext/>
              <w:keepLines/>
              <w:jc w:val="center"/>
              <w:rPr>
                <w:rFonts w:ascii="Arial" w:hAnsi="Arial" w:cs="Arial"/>
                <w:b/>
                <w:sz w:val="20"/>
                <w:szCs w:val="20"/>
              </w:rPr>
            </w:pPr>
            <w:r w:rsidRPr="009C75E1">
              <w:rPr>
                <w:rFonts w:ascii="Arial" w:hAnsi="Arial" w:cs="Arial"/>
                <w:b/>
                <w:sz w:val="20"/>
                <w:szCs w:val="20"/>
              </w:rPr>
              <w:t>PY201</w:t>
            </w:r>
            <w:r w:rsidR="00A017C3">
              <w:rPr>
                <w:rFonts w:ascii="Arial" w:hAnsi="Arial" w:cs="Arial"/>
                <w:b/>
                <w:sz w:val="20"/>
                <w:szCs w:val="20"/>
              </w:rPr>
              <w:t>3</w:t>
            </w:r>
          </w:p>
        </w:tc>
        <w:tc>
          <w:tcPr>
            <w:tcW w:w="1512" w:type="dxa"/>
            <w:shd w:val="clear" w:color="auto" w:fill="D9E2F3"/>
            <w:vAlign w:val="center"/>
          </w:tcPr>
          <w:p w14:paraId="64D604CC" w14:textId="243DD3E5"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PY201</w:t>
            </w:r>
            <w:r w:rsidR="00A017C3">
              <w:rPr>
                <w:rFonts w:ascii="Arial" w:hAnsi="Arial" w:cs="Arial"/>
                <w:b/>
                <w:sz w:val="20"/>
                <w:szCs w:val="20"/>
              </w:rPr>
              <w:t>4</w:t>
            </w:r>
          </w:p>
        </w:tc>
      </w:tr>
      <w:tr w:rsidR="00A017C3" w14:paraId="029F06B2" w14:textId="77777777" w:rsidTr="00512433">
        <w:trPr>
          <w:jc w:val="center"/>
        </w:trPr>
        <w:tc>
          <w:tcPr>
            <w:tcW w:w="1295" w:type="dxa"/>
            <w:vMerge w:val="restart"/>
            <w:shd w:val="clear" w:color="auto" w:fill="auto"/>
            <w:vAlign w:val="center"/>
          </w:tcPr>
          <w:p w14:paraId="1A793E08" w14:textId="77777777" w:rsidR="00A017C3" w:rsidRPr="009C75E1" w:rsidRDefault="00A017C3" w:rsidP="00A017C3">
            <w:pPr>
              <w:keepNext/>
              <w:keepLines/>
              <w:rPr>
                <w:rFonts w:ascii="Arial" w:hAnsi="Arial" w:cs="Arial"/>
                <w:b/>
                <w:sz w:val="20"/>
                <w:szCs w:val="20"/>
              </w:rPr>
            </w:pPr>
            <w:r w:rsidRPr="009C75E1">
              <w:rPr>
                <w:rFonts w:ascii="Arial" w:hAnsi="Arial" w:cs="Arial"/>
                <w:b/>
                <w:sz w:val="20"/>
                <w:szCs w:val="20"/>
              </w:rPr>
              <w:t>Total</w:t>
            </w:r>
          </w:p>
        </w:tc>
        <w:tc>
          <w:tcPr>
            <w:tcW w:w="1731" w:type="dxa"/>
            <w:shd w:val="clear" w:color="auto" w:fill="auto"/>
          </w:tcPr>
          <w:p w14:paraId="384D6EC8" w14:textId="77777777" w:rsidR="00A017C3" w:rsidRPr="009C75E1" w:rsidRDefault="00A017C3" w:rsidP="00A017C3">
            <w:pPr>
              <w:keepNext/>
              <w:keepLines/>
              <w:rPr>
                <w:rFonts w:ascii="Arial" w:hAnsi="Arial" w:cs="Arial"/>
                <w:sz w:val="20"/>
                <w:szCs w:val="20"/>
              </w:rPr>
            </w:pPr>
            <w:r w:rsidRPr="009C75E1">
              <w:rPr>
                <w:rFonts w:ascii="Arial" w:hAnsi="Arial" w:cs="Arial"/>
                <w:sz w:val="20"/>
                <w:szCs w:val="20"/>
              </w:rPr>
              <w:t># SAIDs</w:t>
            </w:r>
          </w:p>
        </w:tc>
        <w:tc>
          <w:tcPr>
            <w:tcW w:w="1512" w:type="dxa"/>
            <w:shd w:val="clear" w:color="auto" w:fill="auto"/>
            <w:vAlign w:val="center"/>
          </w:tcPr>
          <w:p w14:paraId="0D9FC4A4" w14:textId="55E5386B"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998</w:t>
            </w:r>
          </w:p>
        </w:tc>
        <w:tc>
          <w:tcPr>
            <w:tcW w:w="1512" w:type="dxa"/>
            <w:shd w:val="clear" w:color="auto" w:fill="auto"/>
            <w:vAlign w:val="center"/>
          </w:tcPr>
          <w:p w14:paraId="4547786E" w14:textId="68A58EF4"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952</w:t>
            </w:r>
          </w:p>
        </w:tc>
        <w:tc>
          <w:tcPr>
            <w:tcW w:w="1512" w:type="dxa"/>
            <w:shd w:val="clear" w:color="auto" w:fill="auto"/>
            <w:vAlign w:val="center"/>
          </w:tcPr>
          <w:p w14:paraId="61E3FE48" w14:textId="72F6B2A2" w:rsidR="00A017C3" w:rsidRPr="009C75E1" w:rsidRDefault="00A017C3" w:rsidP="00A017C3">
            <w:pPr>
              <w:keepNext/>
              <w:keepLines/>
              <w:jc w:val="center"/>
              <w:rPr>
                <w:rFonts w:ascii="Arial" w:hAnsi="Arial" w:cs="Arial"/>
                <w:sz w:val="20"/>
                <w:szCs w:val="20"/>
              </w:rPr>
            </w:pPr>
            <w:r>
              <w:rPr>
                <w:rFonts w:ascii="Arial" w:hAnsi="Arial" w:cs="Arial"/>
                <w:sz w:val="20"/>
                <w:szCs w:val="20"/>
              </w:rPr>
              <w:t>846</w:t>
            </w:r>
          </w:p>
        </w:tc>
      </w:tr>
      <w:tr w:rsidR="00A017C3" w14:paraId="6981BB8D" w14:textId="77777777" w:rsidTr="00512433">
        <w:trPr>
          <w:trHeight w:val="242"/>
          <w:jc w:val="center"/>
        </w:trPr>
        <w:tc>
          <w:tcPr>
            <w:tcW w:w="1295" w:type="dxa"/>
            <w:vMerge/>
            <w:shd w:val="clear" w:color="auto" w:fill="auto"/>
            <w:vAlign w:val="center"/>
          </w:tcPr>
          <w:p w14:paraId="29D09BC7" w14:textId="77777777" w:rsidR="00A017C3" w:rsidRPr="009C75E1" w:rsidRDefault="00A017C3" w:rsidP="00A017C3">
            <w:pPr>
              <w:keepNext/>
              <w:keepLines/>
              <w:rPr>
                <w:rFonts w:ascii="Arial" w:hAnsi="Arial" w:cs="Arial"/>
                <w:sz w:val="20"/>
                <w:szCs w:val="20"/>
              </w:rPr>
            </w:pPr>
          </w:p>
        </w:tc>
        <w:tc>
          <w:tcPr>
            <w:tcW w:w="1731" w:type="dxa"/>
            <w:shd w:val="clear" w:color="auto" w:fill="auto"/>
          </w:tcPr>
          <w:p w14:paraId="42F4F537" w14:textId="77777777" w:rsidR="00A017C3" w:rsidRPr="009C75E1" w:rsidRDefault="00A017C3" w:rsidP="00A017C3">
            <w:pPr>
              <w:keepNext/>
              <w:keepLines/>
              <w:rPr>
                <w:rFonts w:ascii="Arial" w:hAnsi="Arial" w:cs="Arial"/>
                <w:sz w:val="20"/>
                <w:szCs w:val="20"/>
              </w:rPr>
            </w:pPr>
            <w:r w:rsidRPr="009C75E1">
              <w:rPr>
                <w:rFonts w:ascii="Arial" w:hAnsi="Arial" w:cs="Arial"/>
                <w:sz w:val="20"/>
                <w:szCs w:val="20"/>
              </w:rPr>
              <w:t>Reference (MW)</w:t>
            </w:r>
          </w:p>
        </w:tc>
        <w:tc>
          <w:tcPr>
            <w:tcW w:w="1512" w:type="dxa"/>
            <w:shd w:val="clear" w:color="auto" w:fill="auto"/>
            <w:vAlign w:val="center"/>
          </w:tcPr>
          <w:p w14:paraId="4A701A3E" w14:textId="55B25083"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817</w:t>
            </w:r>
          </w:p>
        </w:tc>
        <w:tc>
          <w:tcPr>
            <w:tcW w:w="1512" w:type="dxa"/>
            <w:shd w:val="clear" w:color="auto" w:fill="auto"/>
            <w:vAlign w:val="center"/>
          </w:tcPr>
          <w:p w14:paraId="49AB9F81" w14:textId="326A1FA7" w:rsidR="00A017C3" w:rsidRPr="009C75E1" w:rsidRDefault="00A017C3" w:rsidP="00A017C3">
            <w:pPr>
              <w:keepNext/>
              <w:keepLines/>
              <w:jc w:val="center"/>
              <w:rPr>
                <w:rFonts w:ascii="Arial" w:hAnsi="Arial" w:cs="Arial"/>
                <w:sz w:val="20"/>
                <w:szCs w:val="20"/>
              </w:rPr>
            </w:pPr>
            <w:r>
              <w:rPr>
                <w:rFonts w:ascii="Arial" w:hAnsi="Arial" w:cs="Arial"/>
                <w:sz w:val="20"/>
                <w:szCs w:val="20"/>
              </w:rPr>
              <w:t>826</w:t>
            </w:r>
          </w:p>
        </w:tc>
        <w:tc>
          <w:tcPr>
            <w:tcW w:w="1512" w:type="dxa"/>
            <w:shd w:val="clear" w:color="auto" w:fill="auto"/>
            <w:vAlign w:val="center"/>
          </w:tcPr>
          <w:p w14:paraId="5812EFAE" w14:textId="63892775" w:rsidR="00A017C3" w:rsidRPr="009C75E1" w:rsidRDefault="00F51511" w:rsidP="00A017C3">
            <w:pPr>
              <w:keepNext/>
              <w:keepLines/>
              <w:jc w:val="center"/>
              <w:rPr>
                <w:rFonts w:ascii="Arial" w:hAnsi="Arial" w:cs="Arial"/>
                <w:sz w:val="20"/>
                <w:szCs w:val="20"/>
              </w:rPr>
            </w:pPr>
            <w:r>
              <w:rPr>
                <w:rFonts w:ascii="Arial" w:hAnsi="Arial" w:cs="Arial"/>
                <w:sz w:val="20"/>
                <w:szCs w:val="20"/>
              </w:rPr>
              <w:t>65</w:t>
            </w:r>
            <w:r w:rsidR="00A017C3">
              <w:rPr>
                <w:rFonts w:ascii="Arial" w:hAnsi="Arial" w:cs="Arial"/>
                <w:sz w:val="20"/>
                <w:szCs w:val="20"/>
              </w:rPr>
              <w:t>1</w:t>
            </w:r>
          </w:p>
        </w:tc>
      </w:tr>
      <w:tr w:rsidR="00A017C3" w14:paraId="2F6D5040" w14:textId="77777777" w:rsidTr="00512433">
        <w:trPr>
          <w:jc w:val="center"/>
        </w:trPr>
        <w:tc>
          <w:tcPr>
            <w:tcW w:w="1295" w:type="dxa"/>
            <w:vMerge/>
            <w:shd w:val="clear" w:color="auto" w:fill="auto"/>
            <w:vAlign w:val="center"/>
          </w:tcPr>
          <w:p w14:paraId="31050C28" w14:textId="77777777" w:rsidR="00A017C3" w:rsidRPr="009C75E1" w:rsidRDefault="00A017C3" w:rsidP="00A017C3">
            <w:pPr>
              <w:keepNext/>
              <w:keepLines/>
              <w:rPr>
                <w:rFonts w:ascii="Arial" w:hAnsi="Arial" w:cs="Arial"/>
                <w:sz w:val="20"/>
                <w:szCs w:val="20"/>
              </w:rPr>
            </w:pPr>
          </w:p>
        </w:tc>
        <w:tc>
          <w:tcPr>
            <w:tcW w:w="1731" w:type="dxa"/>
            <w:shd w:val="clear" w:color="auto" w:fill="auto"/>
          </w:tcPr>
          <w:p w14:paraId="29B01EA5" w14:textId="77777777" w:rsidR="00A017C3" w:rsidRPr="009C75E1" w:rsidRDefault="00A017C3" w:rsidP="00A017C3">
            <w:pPr>
              <w:keepNext/>
              <w:keepLines/>
              <w:rPr>
                <w:rFonts w:ascii="Arial" w:hAnsi="Arial" w:cs="Arial"/>
                <w:sz w:val="20"/>
                <w:szCs w:val="20"/>
              </w:rPr>
            </w:pPr>
            <w:r w:rsidRPr="009C75E1">
              <w:rPr>
                <w:rFonts w:ascii="Arial" w:hAnsi="Arial" w:cs="Arial"/>
                <w:sz w:val="20"/>
                <w:szCs w:val="20"/>
              </w:rPr>
              <w:t>Load Impact (MW)</w:t>
            </w:r>
          </w:p>
        </w:tc>
        <w:tc>
          <w:tcPr>
            <w:tcW w:w="1512" w:type="dxa"/>
            <w:shd w:val="clear" w:color="auto" w:fill="auto"/>
            <w:vAlign w:val="center"/>
          </w:tcPr>
          <w:p w14:paraId="649457B0" w14:textId="34C7A428"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38</w:t>
            </w:r>
          </w:p>
        </w:tc>
        <w:tc>
          <w:tcPr>
            <w:tcW w:w="1512" w:type="dxa"/>
            <w:shd w:val="clear" w:color="auto" w:fill="auto"/>
            <w:vAlign w:val="center"/>
          </w:tcPr>
          <w:p w14:paraId="29F4DA2C" w14:textId="2C4D0A8F"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36</w:t>
            </w:r>
          </w:p>
        </w:tc>
        <w:tc>
          <w:tcPr>
            <w:tcW w:w="1512" w:type="dxa"/>
            <w:shd w:val="clear" w:color="auto" w:fill="auto"/>
            <w:vAlign w:val="center"/>
          </w:tcPr>
          <w:p w14:paraId="31629EA8" w14:textId="645FC961" w:rsidR="00A017C3" w:rsidRPr="009C75E1" w:rsidRDefault="00A017C3" w:rsidP="00A017C3">
            <w:pPr>
              <w:keepNext/>
              <w:keepLines/>
              <w:jc w:val="center"/>
              <w:rPr>
                <w:rFonts w:ascii="Arial" w:hAnsi="Arial" w:cs="Arial"/>
                <w:sz w:val="20"/>
                <w:szCs w:val="20"/>
              </w:rPr>
            </w:pPr>
            <w:r>
              <w:rPr>
                <w:rFonts w:ascii="Arial" w:hAnsi="Arial" w:cs="Arial"/>
                <w:sz w:val="20"/>
                <w:szCs w:val="20"/>
              </w:rPr>
              <w:t>25</w:t>
            </w:r>
          </w:p>
        </w:tc>
      </w:tr>
      <w:tr w:rsidR="00A017C3" w14:paraId="50DC1F05" w14:textId="77777777" w:rsidTr="00512433">
        <w:trPr>
          <w:jc w:val="center"/>
        </w:trPr>
        <w:tc>
          <w:tcPr>
            <w:tcW w:w="1295" w:type="dxa"/>
            <w:vMerge w:val="restart"/>
            <w:shd w:val="clear" w:color="auto" w:fill="auto"/>
            <w:vAlign w:val="center"/>
          </w:tcPr>
          <w:p w14:paraId="0FAC6A17" w14:textId="77777777" w:rsidR="00A017C3" w:rsidRPr="009C75E1" w:rsidRDefault="00A017C3" w:rsidP="00A017C3">
            <w:pPr>
              <w:keepNext/>
              <w:keepLines/>
              <w:rPr>
                <w:rFonts w:ascii="Arial" w:hAnsi="Arial" w:cs="Arial"/>
                <w:b/>
                <w:sz w:val="20"/>
                <w:szCs w:val="20"/>
              </w:rPr>
            </w:pPr>
            <w:r w:rsidRPr="009C75E1">
              <w:rPr>
                <w:rFonts w:ascii="Arial" w:hAnsi="Arial" w:cs="Arial"/>
                <w:b/>
                <w:sz w:val="20"/>
                <w:szCs w:val="20"/>
              </w:rPr>
              <w:t>Per SAID</w:t>
            </w:r>
          </w:p>
        </w:tc>
        <w:tc>
          <w:tcPr>
            <w:tcW w:w="1731" w:type="dxa"/>
            <w:shd w:val="clear" w:color="auto" w:fill="auto"/>
          </w:tcPr>
          <w:p w14:paraId="646EA8BA" w14:textId="77777777" w:rsidR="00A017C3" w:rsidRPr="009C75E1" w:rsidRDefault="00A017C3" w:rsidP="00A017C3">
            <w:pPr>
              <w:keepNext/>
              <w:keepLines/>
              <w:rPr>
                <w:rFonts w:ascii="Arial" w:hAnsi="Arial" w:cs="Arial"/>
                <w:sz w:val="20"/>
                <w:szCs w:val="20"/>
              </w:rPr>
            </w:pPr>
            <w:r w:rsidRPr="009C75E1">
              <w:rPr>
                <w:rFonts w:ascii="Arial" w:hAnsi="Arial" w:cs="Arial"/>
                <w:sz w:val="20"/>
                <w:szCs w:val="20"/>
              </w:rPr>
              <w:t>Reference (kW)</w:t>
            </w:r>
          </w:p>
        </w:tc>
        <w:tc>
          <w:tcPr>
            <w:tcW w:w="1512" w:type="dxa"/>
            <w:shd w:val="clear" w:color="auto" w:fill="auto"/>
            <w:vAlign w:val="center"/>
          </w:tcPr>
          <w:p w14:paraId="044BE681" w14:textId="69F161F4"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819</w:t>
            </w:r>
          </w:p>
        </w:tc>
        <w:tc>
          <w:tcPr>
            <w:tcW w:w="1512" w:type="dxa"/>
            <w:shd w:val="clear" w:color="auto" w:fill="auto"/>
            <w:vAlign w:val="center"/>
          </w:tcPr>
          <w:p w14:paraId="6ED68ACC" w14:textId="229ACEF7" w:rsidR="00A017C3" w:rsidRPr="009C75E1" w:rsidRDefault="00A017C3" w:rsidP="00A017C3">
            <w:pPr>
              <w:keepNext/>
              <w:keepLines/>
              <w:jc w:val="center"/>
              <w:rPr>
                <w:rFonts w:ascii="Arial" w:hAnsi="Arial" w:cs="Arial"/>
                <w:sz w:val="20"/>
                <w:szCs w:val="20"/>
              </w:rPr>
            </w:pPr>
            <w:r>
              <w:rPr>
                <w:rFonts w:ascii="Arial" w:hAnsi="Arial" w:cs="Arial"/>
                <w:sz w:val="20"/>
                <w:szCs w:val="20"/>
              </w:rPr>
              <w:t>867</w:t>
            </w:r>
          </w:p>
        </w:tc>
        <w:tc>
          <w:tcPr>
            <w:tcW w:w="1512" w:type="dxa"/>
            <w:shd w:val="clear" w:color="auto" w:fill="auto"/>
            <w:vAlign w:val="center"/>
          </w:tcPr>
          <w:p w14:paraId="3797AD32" w14:textId="49BD7EDB" w:rsidR="00A017C3" w:rsidRPr="009C75E1" w:rsidRDefault="00A017C3" w:rsidP="00A017C3">
            <w:pPr>
              <w:keepNext/>
              <w:keepLines/>
              <w:jc w:val="center"/>
              <w:rPr>
                <w:rFonts w:ascii="Arial" w:hAnsi="Arial" w:cs="Arial"/>
                <w:sz w:val="20"/>
                <w:szCs w:val="20"/>
              </w:rPr>
            </w:pPr>
            <w:r>
              <w:rPr>
                <w:rFonts w:ascii="Arial" w:hAnsi="Arial" w:cs="Arial"/>
                <w:sz w:val="20"/>
                <w:szCs w:val="20"/>
              </w:rPr>
              <w:t>769</w:t>
            </w:r>
          </w:p>
        </w:tc>
      </w:tr>
      <w:tr w:rsidR="00A017C3" w14:paraId="57357C46" w14:textId="77777777" w:rsidTr="00512433">
        <w:trPr>
          <w:jc w:val="center"/>
        </w:trPr>
        <w:tc>
          <w:tcPr>
            <w:tcW w:w="1295" w:type="dxa"/>
            <w:vMerge/>
            <w:shd w:val="clear" w:color="auto" w:fill="auto"/>
          </w:tcPr>
          <w:p w14:paraId="279EE413" w14:textId="77777777" w:rsidR="00A017C3" w:rsidRPr="009C75E1" w:rsidRDefault="00A017C3" w:rsidP="00A017C3">
            <w:pPr>
              <w:keepNext/>
              <w:keepLines/>
              <w:rPr>
                <w:rFonts w:ascii="Arial" w:hAnsi="Arial" w:cs="Arial"/>
                <w:sz w:val="20"/>
                <w:szCs w:val="20"/>
              </w:rPr>
            </w:pPr>
          </w:p>
        </w:tc>
        <w:tc>
          <w:tcPr>
            <w:tcW w:w="1731" w:type="dxa"/>
            <w:shd w:val="clear" w:color="auto" w:fill="auto"/>
          </w:tcPr>
          <w:p w14:paraId="15A07DE7" w14:textId="77777777" w:rsidR="00A017C3" w:rsidRPr="009C75E1" w:rsidRDefault="00A017C3" w:rsidP="00A017C3">
            <w:pPr>
              <w:keepNext/>
              <w:keepLines/>
              <w:rPr>
                <w:rFonts w:ascii="Arial" w:hAnsi="Arial" w:cs="Arial"/>
                <w:sz w:val="20"/>
                <w:szCs w:val="20"/>
              </w:rPr>
            </w:pPr>
            <w:r w:rsidRPr="009C75E1">
              <w:rPr>
                <w:rFonts w:ascii="Arial" w:hAnsi="Arial" w:cs="Arial"/>
                <w:sz w:val="20"/>
                <w:szCs w:val="20"/>
              </w:rPr>
              <w:t>Load Impact (kW)</w:t>
            </w:r>
          </w:p>
        </w:tc>
        <w:tc>
          <w:tcPr>
            <w:tcW w:w="1512" w:type="dxa"/>
            <w:shd w:val="clear" w:color="auto" w:fill="auto"/>
            <w:vAlign w:val="center"/>
          </w:tcPr>
          <w:p w14:paraId="490AC7F5" w14:textId="6C47BC28"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38</w:t>
            </w:r>
          </w:p>
        </w:tc>
        <w:tc>
          <w:tcPr>
            <w:tcW w:w="1512" w:type="dxa"/>
            <w:shd w:val="clear" w:color="auto" w:fill="auto"/>
            <w:vAlign w:val="center"/>
          </w:tcPr>
          <w:p w14:paraId="3DA5CEF5" w14:textId="2802AA5B"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38</w:t>
            </w:r>
          </w:p>
        </w:tc>
        <w:tc>
          <w:tcPr>
            <w:tcW w:w="1512" w:type="dxa"/>
            <w:shd w:val="clear" w:color="auto" w:fill="auto"/>
            <w:vAlign w:val="center"/>
          </w:tcPr>
          <w:p w14:paraId="1D015563" w14:textId="634B21A1" w:rsidR="00A017C3" w:rsidRPr="009C75E1" w:rsidRDefault="00A017C3" w:rsidP="00A017C3">
            <w:pPr>
              <w:keepNext/>
              <w:keepLines/>
              <w:jc w:val="center"/>
              <w:rPr>
                <w:rFonts w:ascii="Arial" w:hAnsi="Arial" w:cs="Arial"/>
                <w:sz w:val="20"/>
                <w:szCs w:val="20"/>
              </w:rPr>
            </w:pPr>
            <w:r>
              <w:rPr>
                <w:rFonts w:ascii="Arial" w:hAnsi="Arial" w:cs="Arial"/>
                <w:sz w:val="20"/>
                <w:szCs w:val="20"/>
              </w:rPr>
              <w:t>30</w:t>
            </w:r>
          </w:p>
        </w:tc>
      </w:tr>
      <w:tr w:rsidR="00A017C3" w14:paraId="5C85E20A" w14:textId="77777777" w:rsidTr="00512433">
        <w:trPr>
          <w:jc w:val="center"/>
        </w:trPr>
        <w:tc>
          <w:tcPr>
            <w:tcW w:w="1295" w:type="dxa"/>
            <w:vMerge/>
            <w:shd w:val="clear" w:color="auto" w:fill="auto"/>
          </w:tcPr>
          <w:p w14:paraId="39ED63F2" w14:textId="77777777" w:rsidR="00A017C3" w:rsidRPr="009C75E1" w:rsidRDefault="00A017C3" w:rsidP="00A017C3">
            <w:pPr>
              <w:keepNext/>
              <w:keepLines/>
              <w:rPr>
                <w:rFonts w:ascii="Arial" w:hAnsi="Arial" w:cs="Arial"/>
                <w:sz w:val="20"/>
                <w:szCs w:val="20"/>
              </w:rPr>
            </w:pPr>
          </w:p>
        </w:tc>
        <w:tc>
          <w:tcPr>
            <w:tcW w:w="1731" w:type="dxa"/>
            <w:shd w:val="clear" w:color="auto" w:fill="auto"/>
          </w:tcPr>
          <w:p w14:paraId="631FFE93" w14:textId="77777777" w:rsidR="00A017C3" w:rsidRPr="009C75E1" w:rsidRDefault="00A017C3" w:rsidP="00A017C3">
            <w:pPr>
              <w:keepNext/>
              <w:keepLines/>
              <w:rPr>
                <w:rFonts w:ascii="Arial" w:hAnsi="Arial" w:cs="Arial"/>
                <w:sz w:val="20"/>
                <w:szCs w:val="20"/>
              </w:rPr>
            </w:pPr>
            <w:r w:rsidRPr="009C75E1">
              <w:rPr>
                <w:rFonts w:ascii="Arial" w:hAnsi="Arial" w:cs="Arial"/>
                <w:sz w:val="20"/>
                <w:szCs w:val="20"/>
              </w:rPr>
              <w:t>% Load Impact</w:t>
            </w:r>
          </w:p>
        </w:tc>
        <w:tc>
          <w:tcPr>
            <w:tcW w:w="1512" w:type="dxa"/>
            <w:shd w:val="clear" w:color="auto" w:fill="auto"/>
            <w:vAlign w:val="center"/>
          </w:tcPr>
          <w:p w14:paraId="5D762810" w14:textId="170A47AA"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4.6%</w:t>
            </w:r>
          </w:p>
        </w:tc>
        <w:tc>
          <w:tcPr>
            <w:tcW w:w="1512" w:type="dxa"/>
            <w:shd w:val="clear" w:color="auto" w:fill="auto"/>
            <w:vAlign w:val="center"/>
          </w:tcPr>
          <w:p w14:paraId="18EBE5C7" w14:textId="094E299F" w:rsidR="00A017C3" w:rsidRPr="009C75E1" w:rsidRDefault="00A017C3" w:rsidP="00A017C3">
            <w:pPr>
              <w:keepNext/>
              <w:keepLines/>
              <w:jc w:val="center"/>
              <w:rPr>
                <w:rFonts w:ascii="Arial" w:hAnsi="Arial" w:cs="Arial"/>
                <w:sz w:val="20"/>
                <w:szCs w:val="20"/>
              </w:rPr>
            </w:pPr>
            <w:r w:rsidRPr="009C75E1">
              <w:rPr>
                <w:rFonts w:ascii="Arial" w:hAnsi="Arial" w:cs="Arial"/>
                <w:sz w:val="20"/>
                <w:szCs w:val="20"/>
              </w:rPr>
              <w:t>4.3%</w:t>
            </w:r>
          </w:p>
        </w:tc>
        <w:tc>
          <w:tcPr>
            <w:tcW w:w="1512" w:type="dxa"/>
            <w:shd w:val="clear" w:color="auto" w:fill="auto"/>
            <w:vAlign w:val="center"/>
          </w:tcPr>
          <w:p w14:paraId="2CDAAF5A" w14:textId="54561333" w:rsidR="00A017C3" w:rsidRPr="009C75E1" w:rsidRDefault="00A017C3" w:rsidP="00A017C3">
            <w:pPr>
              <w:keepNext/>
              <w:keepLines/>
              <w:jc w:val="center"/>
              <w:rPr>
                <w:rFonts w:ascii="Arial" w:hAnsi="Arial" w:cs="Arial"/>
                <w:sz w:val="20"/>
                <w:szCs w:val="20"/>
              </w:rPr>
            </w:pPr>
            <w:r>
              <w:rPr>
                <w:rFonts w:ascii="Arial" w:hAnsi="Arial" w:cs="Arial"/>
                <w:sz w:val="20"/>
                <w:szCs w:val="20"/>
              </w:rPr>
              <w:t>3.8%</w:t>
            </w:r>
          </w:p>
        </w:tc>
      </w:tr>
    </w:tbl>
    <w:p w14:paraId="173D8B60" w14:textId="77777777" w:rsidR="002B724E" w:rsidRDefault="002B724E" w:rsidP="002B724E"/>
    <w:p w14:paraId="2F18B160" w14:textId="120B4510" w:rsidR="002B724E" w:rsidRDefault="002B724E" w:rsidP="002B724E">
      <w:r>
        <w:t xml:space="preserve">The </w:t>
      </w:r>
      <w:r w:rsidR="00933F01" w:rsidRPr="00933F01">
        <w:rPr>
          <w:i/>
        </w:rPr>
        <w:t>ex-post</w:t>
      </w:r>
      <w:r>
        <w:t xml:space="preserve"> load impacts were quite similar for PY2012 and PY2013. </w:t>
      </w:r>
      <w:r w:rsidR="00A017C3">
        <w:t xml:space="preserve">The load impacts for PY2014 are somewhat lower in both MW and as a percentage of the reference load. Examining the customer-level load impacts between PY2013 and PY2014, we find that most of this difference is due to changes in load impacts for customers enrolled in both years. Specifically, the load impacts for customers enrolled in both years are 11.8 MW lower in PY2014, with three service accounts comprising 9.6 MW of this total. Customers leaving the program between program years resulted in a 0.7 MW reduction in total load impacts, while customers joining the program in 2014 accounted for 1.7 MW of added load impacts. </w:t>
      </w:r>
    </w:p>
    <w:p w14:paraId="61597EFF" w14:textId="7246E378" w:rsidR="002B724E" w:rsidRDefault="002B724E" w:rsidP="002B724E">
      <w:pPr>
        <w:pStyle w:val="Heading3"/>
      </w:pPr>
      <w:bookmarkStart w:id="291" w:name="_Toc383597953"/>
      <w:bookmarkStart w:id="292" w:name="_Toc415761848"/>
      <w:r>
        <w:t xml:space="preserve">6.1.2 Previous versus current </w:t>
      </w:r>
      <w:r w:rsidR="00933F01" w:rsidRPr="00933F01">
        <w:rPr>
          <w:i/>
        </w:rPr>
        <w:t>ex-ante</w:t>
      </w:r>
      <w:bookmarkEnd w:id="291"/>
      <w:bookmarkEnd w:id="292"/>
    </w:p>
    <w:p w14:paraId="4169F5A5" w14:textId="0D959DB4" w:rsidR="002B724E" w:rsidRDefault="002B724E" w:rsidP="002B724E">
      <w:r>
        <w:t xml:space="preserve">In this sub-section, we compare the </w:t>
      </w:r>
      <w:r w:rsidR="00933F01" w:rsidRPr="00933F01">
        <w:rPr>
          <w:i/>
        </w:rPr>
        <w:t>ex-ante</w:t>
      </w:r>
      <w:r>
        <w:t xml:space="preserve"> forecast prepared following PY 201</w:t>
      </w:r>
      <w:r w:rsidR="00E4541E">
        <w:t>3</w:t>
      </w:r>
      <w:r>
        <w:t xml:space="preserve"> (the “previous study”) to the </w:t>
      </w:r>
      <w:r w:rsidR="00933F01" w:rsidRPr="00933F01">
        <w:rPr>
          <w:i/>
        </w:rPr>
        <w:t>ex-ante</w:t>
      </w:r>
      <w:r>
        <w:t xml:space="preserve"> forecast contained in this study (the “current study”). Table 6.2 contains this comparison for the August 201</w:t>
      </w:r>
      <w:r w:rsidR="00E4541E">
        <w:t>5</w:t>
      </w:r>
      <w:r>
        <w:t xml:space="preserve"> </w:t>
      </w:r>
      <w:r w:rsidR="00E4541E">
        <w:t xml:space="preserve">utility-specific </w:t>
      </w:r>
      <w:r>
        <w:t>1-in-2 peak month day forecast. Both the program-level and portfolio-level load impacts are presented. Note that the portfolio-level load impacts (which exclude dually enrolled customers) are much lower than the program-level load impacts in both forecasts.</w:t>
      </w:r>
    </w:p>
    <w:p w14:paraId="1901A232" w14:textId="77777777" w:rsidR="002B724E" w:rsidRDefault="002B724E" w:rsidP="002B724E"/>
    <w:p w14:paraId="6EB8172D" w14:textId="215536BB" w:rsidR="002B724E" w:rsidRPr="00376F46" w:rsidRDefault="002B724E" w:rsidP="002B724E">
      <w:pPr>
        <w:pStyle w:val="TableCaption"/>
        <w:keepNext/>
        <w:keepLines/>
      </w:pPr>
      <w:bookmarkStart w:id="293" w:name="_Toc383598017"/>
      <w:bookmarkStart w:id="294" w:name="_Toc415761895"/>
      <w:r w:rsidRPr="00376F46">
        <w:t xml:space="preserve">Table </w:t>
      </w:r>
      <w:r>
        <w:t>6</w:t>
      </w:r>
      <w:r w:rsidRPr="00376F46">
        <w:t>.</w:t>
      </w:r>
      <w:r>
        <w:t>2</w:t>
      </w:r>
      <w:r w:rsidRPr="00376F46">
        <w:t xml:space="preserve">: Comparison of </w:t>
      </w:r>
      <w:r w:rsidR="00933F01" w:rsidRPr="00933F01">
        <w:rPr>
          <w:i/>
        </w:rPr>
        <w:t>Ex-ante</w:t>
      </w:r>
      <w:r>
        <w:t xml:space="preserve"> </w:t>
      </w:r>
      <w:r w:rsidRPr="00376F46">
        <w:t xml:space="preserve">Impacts </w:t>
      </w:r>
      <w:r>
        <w:t xml:space="preserve">from </w:t>
      </w:r>
      <w:r w:rsidRPr="00376F46">
        <w:t>PY 201</w:t>
      </w:r>
      <w:r w:rsidR="00E4541E">
        <w:t>3</w:t>
      </w:r>
      <w:r>
        <w:t xml:space="preserve"> and</w:t>
      </w:r>
      <w:r w:rsidRPr="00376F46">
        <w:t xml:space="preserve"> PY 201</w:t>
      </w:r>
      <w:r w:rsidR="00E4541E">
        <w:t>4</w:t>
      </w:r>
      <w:r>
        <w:t xml:space="preserve"> Studies</w:t>
      </w:r>
      <w:r w:rsidRPr="00376F46">
        <w:t xml:space="preserve">, </w:t>
      </w:r>
      <w:r>
        <w:rPr>
          <w:i/>
        </w:rPr>
        <w:t>P</w:t>
      </w:r>
      <w:r w:rsidRPr="00376F46">
        <w:rPr>
          <w:i/>
        </w:rPr>
        <w:t>G&amp;E</w:t>
      </w:r>
      <w:bookmarkEnd w:id="293"/>
      <w:bookmarkEnd w:id="29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1916"/>
        <w:gridCol w:w="1445"/>
        <w:gridCol w:w="1369"/>
        <w:gridCol w:w="1440"/>
        <w:gridCol w:w="1307"/>
      </w:tblGrid>
      <w:tr w:rsidR="002B724E" w14:paraId="21476B6D" w14:textId="77777777" w:rsidTr="00512433">
        <w:trPr>
          <w:jc w:val="center"/>
        </w:trPr>
        <w:tc>
          <w:tcPr>
            <w:tcW w:w="1188" w:type="dxa"/>
            <w:vMerge w:val="restart"/>
            <w:shd w:val="clear" w:color="auto" w:fill="D9E2F3"/>
            <w:vAlign w:val="center"/>
          </w:tcPr>
          <w:p w14:paraId="275E1056"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Level</w:t>
            </w:r>
          </w:p>
        </w:tc>
        <w:tc>
          <w:tcPr>
            <w:tcW w:w="1980" w:type="dxa"/>
            <w:vMerge w:val="restart"/>
            <w:shd w:val="clear" w:color="auto" w:fill="D9E2F3"/>
            <w:vAlign w:val="center"/>
          </w:tcPr>
          <w:p w14:paraId="5EA577CD"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2880" w:type="dxa"/>
            <w:gridSpan w:val="2"/>
            <w:shd w:val="clear" w:color="auto" w:fill="D9E2F3"/>
            <w:vAlign w:val="center"/>
          </w:tcPr>
          <w:p w14:paraId="0CF1D508"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Program Level</w:t>
            </w:r>
          </w:p>
        </w:tc>
        <w:tc>
          <w:tcPr>
            <w:tcW w:w="2808" w:type="dxa"/>
            <w:gridSpan w:val="2"/>
            <w:shd w:val="clear" w:color="auto" w:fill="D9E2F3"/>
          </w:tcPr>
          <w:p w14:paraId="34865A6A"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Portfolio Level</w:t>
            </w:r>
          </w:p>
        </w:tc>
      </w:tr>
      <w:tr w:rsidR="002B724E" w14:paraId="7A495AD6" w14:textId="77777777" w:rsidTr="00512433">
        <w:trPr>
          <w:jc w:val="center"/>
        </w:trPr>
        <w:tc>
          <w:tcPr>
            <w:tcW w:w="1188" w:type="dxa"/>
            <w:vMerge/>
            <w:shd w:val="clear" w:color="auto" w:fill="D9E2F3"/>
            <w:vAlign w:val="center"/>
          </w:tcPr>
          <w:p w14:paraId="4BF1030C" w14:textId="77777777" w:rsidR="002B724E" w:rsidRPr="009C75E1" w:rsidRDefault="002B724E" w:rsidP="00512433">
            <w:pPr>
              <w:keepNext/>
              <w:keepLines/>
              <w:jc w:val="center"/>
              <w:rPr>
                <w:rFonts w:ascii="Arial" w:hAnsi="Arial" w:cs="Arial"/>
                <w:b/>
                <w:sz w:val="20"/>
                <w:szCs w:val="20"/>
              </w:rPr>
            </w:pPr>
          </w:p>
        </w:tc>
        <w:tc>
          <w:tcPr>
            <w:tcW w:w="1980" w:type="dxa"/>
            <w:vMerge/>
            <w:shd w:val="clear" w:color="auto" w:fill="D9E2F3"/>
            <w:vAlign w:val="center"/>
          </w:tcPr>
          <w:p w14:paraId="780EC404" w14:textId="77777777" w:rsidR="002B724E" w:rsidRPr="009C75E1" w:rsidRDefault="002B724E" w:rsidP="00512433">
            <w:pPr>
              <w:keepNext/>
              <w:keepLines/>
              <w:jc w:val="center"/>
              <w:rPr>
                <w:rFonts w:ascii="Arial" w:hAnsi="Arial" w:cs="Arial"/>
                <w:b/>
                <w:sz w:val="20"/>
                <w:szCs w:val="20"/>
              </w:rPr>
            </w:pPr>
          </w:p>
        </w:tc>
        <w:tc>
          <w:tcPr>
            <w:tcW w:w="1476" w:type="dxa"/>
            <w:shd w:val="clear" w:color="auto" w:fill="D9E2F3"/>
            <w:vAlign w:val="center"/>
          </w:tcPr>
          <w:p w14:paraId="6982B36E" w14:textId="77777777" w:rsidR="002B724E" w:rsidRPr="009C75E1" w:rsidRDefault="002B724E" w:rsidP="00512433">
            <w:pPr>
              <w:keepNext/>
              <w:keepLines/>
              <w:jc w:val="center"/>
              <w:rPr>
                <w:rFonts w:ascii="Arial" w:hAnsi="Arial" w:cs="Arial"/>
                <w:b/>
                <w:sz w:val="20"/>
                <w:szCs w:val="20"/>
              </w:rPr>
            </w:pPr>
          </w:p>
          <w:p w14:paraId="562A650B" w14:textId="5565311B"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w:t>
            </w:r>
            <w:r w:rsidR="00933F01">
              <w:rPr>
                <w:rFonts w:ascii="Arial" w:hAnsi="Arial" w:cs="Arial"/>
                <w:b/>
                <w:sz w:val="20"/>
                <w:szCs w:val="20"/>
              </w:rPr>
              <w:t xml:space="preserve"> -</w:t>
            </w:r>
            <w:r w:rsidR="00E4541E">
              <w:rPr>
                <w:rFonts w:ascii="Arial" w:hAnsi="Arial" w:cs="Arial"/>
                <w:b/>
                <w:sz w:val="20"/>
                <w:szCs w:val="20"/>
              </w:rPr>
              <w:t xml:space="preserve"> 2015</w:t>
            </w:r>
          </w:p>
          <w:p w14:paraId="337327EB" w14:textId="77777777" w:rsidR="002B724E" w:rsidRPr="009C75E1" w:rsidRDefault="002B724E" w:rsidP="00512433">
            <w:pPr>
              <w:keepNext/>
              <w:keepLines/>
              <w:jc w:val="center"/>
              <w:rPr>
                <w:rFonts w:ascii="Arial" w:hAnsi="Arial" w:cs="Arial"/>
                <w:b/>
                <w:sz w:val="20"/>
                <w:szCs w:val="20"/>
              </w:rPr>
            </w:pPr>
          </w:p>
        </w:tc>
        <w:tc>
          <w:tcPr>
            <w:tcW w:w="1404" w:type="dxa"/>
            <w:shd w:val="clear" w:color="auto" w:fill="D9E2F3"/>
            <w:vAlign w:val="center"/>
          </w:tcPr>
          <w:p w14:paraId="63CF42CD" w14:textId="2619BECA" w:rsidR="002B724E" w:rsidRPr="009C75E1" w:rsidRDefault="002B724E" w:rsidP="00E4541E">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00933F01">
              <w:rPr>
                <w:rFonts w:ascii="Arial" w:hAnsi="Arial" w:cs="Arial"/>
                <w:b/>
                <w:sz w:val="20"/>
                <w:szCs w:val="20"/>
              </w:rPr>
              <w:t xml:space="preserve"> -</w:t>
            </w:r>
            <w:r w:rsidRPr="009C75E1">
              <w:rPr>
                <w:rFonts w:ascii="Arial" w:hAnsi="Arial" w:cs="Arial"/>
                <w:b/>
                <w:sz w:val="20"/>
                <w:szCs w:val="20"/>
              </w:rPr>
              <w:t xml:space="preserve"> 201</w:t>
            </w:r>
            <w:r w:rsidR="00E4541E">
              <w:rPr>
                <w:rFonts w:ascii="Arial" w:hAnsi="Arial" w:cs="Arial"/>
                <w:b/>
                <w:sz w:val="20"/>
                <w:szCs w:val="20"/>
              </w:rPr>
              <w:t>5</w:t>
            </w:r>
          </w:p>
        </w:tc>
        <w:tc>
          <w:tcPr>
            <w:tcW w:w="1471" w:type="dxa"/>
            <w:shd w:val="clear" w:color="auto" w:fill="D9E2F3"/>
            <w:vAlign w:val="center"/>
          </w:tcPr>
          <w:p w14:paraId="2142A9E9" w14:textId="77777777" w:rsidR="002B724E" w:rsidRPr="009C75E1" w:rsidRDefault="002B724E" w:rsidP="00512433">
            <w:pPr>
              <w:keepNext/>
              <w:keepLines/>
              <w:jc w:val="center"/>
              <w:rPr>
                <w:rFonts w:ascii="Arial" w:hAnsi="Arial" w:cs="Arial"/>
                <w:b/>
                <w:sz w:val="20"/>
                <w:szCs w:val="20"/>
              </w:rPr>
            </w:pPr>
          </w:p>
          <w:p w14:paraId="157D17A7" w14:textId="44B9070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w:t>
            </w:r>
            <w:r w:rsidR="00933F01">
              <w:rPr>
                <w:rFonts w:ascii="Arial" w:hAnsi="Arial" w:cs="Arial"/>
                <w:b/>
                <w:sz w:val="20"/>
                <w:szCs w:val="20"/>
              </w:rPr>
              <w:t xml:space="preserve"> -</w:t>
            </w:r>
            <w:r w:rsidRPr="009C75E1">
              <w:rPr>
                <w:rFonts w:ascii="Arial" w:hAnsi="Arial" w:cs="Arial"/>
                <w:b/>
                <w:sz w:val="20"/>
                <w:szCs w:val="20"/>
              </w:rPr>
              <w:t xml:space="preserve"> 201</w:t>
            </w:r>
            <w:r w:rsidR="00E4541E">
              <w:rPr>
                <w:rFonts w:ascii="Arial" w:hAnsi="Arial" w:cs="Arial"/>
                <w:b/>
                <w:sz w:val="20"/>
                <w:szCs w:val="20"/>
              </w:rPr>
              <w:t>5</w:t>
            </w:r>
          </w:p>
          <w:p w14:paraId="7B012A7F" w14:textId="77777777" w:rsidR="002B724E" w:rsidRPr="009C75E1" w:rsidRDefault="002B724E" w:rsidP="00512433">
            <w:pPr>
              <w:keepNext/>
              <w:keepLines/>
              <w:jc w:val="center"/>
              <w:rPr>
                <w:rFonts w:ascii="Arial" w:hAnsi="Arial" w:cs="Arial"/>
                <w:b/>
                <w:sz w:val="20"/>
                <w:szCs w:val="20"/>
              </w:rPr>
            </w:pPr>
          </w:p>
        </w:tc>
        <w:tc>
          <w:tcPr>
            <w:tcW w:w="1337" w:type="dxa"/>
            <w:shd w:val="clear" w:color="auto" w:fill="D9E2F3"/>
            <w:vAlign w:val="center"/>
          </w:tcPr>
          <w:p w14:paraId="76C83941" w14:textId="7BB83BFF" w:rsidR="002B724E" w:rsidRPr="009C75E1" w:rsidRDefault="002B724E" w:rsidP="00E4541E">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00933F01">
              <w:rPr>
                <w:rFonts w:ascii="Arial" w:hAnsi="Arial" w:cs="Arial"/>
                <w:b/>
                <w:sz w:val="20"/>
                <w:szCs w:val="20"/>
              </w:rPr>
              <w:t xml:space="preserve"> –</w:t>
            </w:r>
            <w:r w:rsidRPr="009C75E1">
              <w:rPr>
                <w:rFonts w:ascii="Arial" w:hAnsi="Arial" w:cs="Arial"/>
                <w:b/>
                <w:sz w:val="20"/>
                <w:szCs w:val="20"/>
              </w:rPr>
              <w:t xml:space="preserve"> 201</w:t>
            </w:r>
            <w:r w:rsidR="00E4541E">
              <w:rPr>
                <w:rFonts w:ascii="Arial" w:hAnsi="Arial" w:cs="Arial"/>
                <w:b/>
                <w:sz w:val="20"/>
                <w:szCs w:val="20"/>
              </w:rPr>
              <w:t>5</w:t>
            </w:r>
          </w:p>
        </w:tc>
      </w:tr>
      <w:tr w:rsidR="002B724E" w14:paraId="67B51ACA" w14:textId="77777777" w:rsidTr="00512433">
        <w:trPr>
          <w:jc w:val="center"/>
        </w:trPr>
        <w:tc>
          <w:tcPr>
            <w:tcW w:w="1188" w:type="dxa"/>
            <w:vMerge w:val="restart"/>
            <w:shd w:val="clear" w:color="auto" w:fill="auto"/>
            <w:vAlign w:val="center"/>
          </w:tcPr>
          <w:p w14:paraId="6B2EB70E" w14:textId="77777777" w:rsidR="002B724E" w:rsidRPr="009C75E1" w:rsidRDefault="002B724E" w:rsidP="00512433">
            <w:pPr>
              <w:keepNext/>
              <w:keepLines/>
              <w:rPr>
                <w:rFonts w:ascii="Arial" w:hAnsi="Arial" w:cs="Arial"/>
                <w:b/>
                <w:sz w:val="20"/>
                <w:szCs w:val="20"/>
              </w:rPr>
            </w:pPr>
            <w:r w:rsidRPr="009C75E1">
              <w:rPr>
                <w:rFonts w:ascii="Arial" w:hAnsi="Arial" w:cs="Arial"/>
                <w:b/>
                <w:sz w:val="20"/>
                <w:szCs w:val="20"/>
              </w:rPr>
              <w:t>Total</w:t>
            </w:r>
          </w:p>
        </w:tc>
        <w:tc>
          <w:tcPr>
            <w:tcW w:w="1980" w:type="dxa"/>
            <w:shd w:val="clear" w:color="auto" w:fill="auto"/>
          </w:tcPr>
          <w:p w14:paraId="7A3182E7"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 SAIDs</w:t>
            </w:r>
          </w:p>
        </w:tc>
        <w:tc>
          <w:tcPr>
            <w:tcW w:w="1476" w:type="dxa"/>
            <w:shd w:val="clear" w:color="auto" w:fill="auto"/>
          </w:tcPr>
          <w:p w14:paraId="5877CAA2" w14:textId="03CDFAD8" w:rsidR="002B724E" w:rsidRPr="009C75E1" w:rsidRDefault="00E4541E" w:rsidP="00512433">
            <w:pPr>
              <w:keepNext/>
              <w:keepLines/>
              <w:jc w:val="center"/>
              <w:rPr>
                <w:rFonts w:ascii="Arial" w:hAnsi="Arial" w:cs="Arial"/>
                <w:sz w:val="20"/>
                <w:szCs w:val="20"/>
              </w:rPr>
            </w:pPr>
            <w:r>
              <w:rPr>
                <w:rFonts w:ascii="Arial" w:hAnsi="Arial" w:cs="Arial"/>
                <w:sz w:val="20"/>
                <w:szCs w:val="20"/>
              </w:rPr>
              <w:t>923</w:t>
            </w:r>
          </w:p>
        </w:tc>
        <w:tc>
          <w:tcPr>
            <w:tcW w:w="1404" w:type="dxa"/>
            <w:shd w:val="clear" w:color="auto" w:fill="auto"/>
          </w:tcPr>
          <w:p w14:paraId="06A5864A" w14:textId="128D6067" w:rsidR="002B724E" w:rsidRPr="009C75E1" w:rsidRDefault="00891E28" w:rsidP="00512433">
            <w:pPr>
              <w:keepNext/>
              <w:keepLines/>
              <w:jc w:val="center"/>
              <w:rPr>
                <w:rFonts w:ascii="Arial" w:hAnsi="Arial" w:cs="Arial"/>
                <w:sz w:val="20"/>
                <w:szCs w:val="20"/>
              </w:rPr>
            </w:pPr>
            <w:r>
              <w:rPr>
                <w:rFonts w:ascii="Arial" w:hAnsi="Arial" w:cs="Arial"/>
                <w:sz w:val="20"/>
                <w:szCs w:val="20"/>
              </w:rPr>
              <w:t>784</w:t>
            </w:r>
          </w:p>
        </w:tc>
        <w:tc>
          <w:tcPr>
            <w:tcW w:w="1471" w:type="dxa"/>
            <w:shd w:val="clear" w:color="auto" w:fill="auto"/>
          </w:tcPr>
          <w:p w14:paraId="171D8BC5" w14:textId="758BD4FA" w:rsidR="002B724E" w:rsidRPr="009C75E1" w:rsidRDefault="00E4541E" w:rsidP="00512433">
            <w:pPr>
              <w:keepNext/>
              <w:keepLines/>
              <w:jc w:val="center"/>
              <w:rPr>
                <w:rFonts w:ascii="Arial" w:hAnsi="Arial" w:cs="Arial"/>
                <w:sz w:val="20"/>
                <w:szCs w:val="20"/>
              </w:rPr>
            </w:pPr>
            <w:r>
              <w:rPr>
                <w:rFonts w:ascii="Arial" w:hAnsi="Arial" w:cs="Arial"/>
                <w:sz w:val="20"/>
                <w:szCs w:val="20"/>
              </w:rPr>
              <w:t>682</w:t>
            </w:r>
          </w:p>
        </w:tc>
        <w:tc>
          <w:tcPr>
            <w:tcW w:w="1337" w:type="dxa"/>
            <w:shd w:val="clear" w:color="auto" w:fill="auto"/>
          </w:tcPr>
          <w:p w14:paraId="6387B199" w14:textId="10B49F93" w:rsidR="002B724E" w:rsidRPr="009C75E1" w:rsidRDefault="00891E28" w:rsidP="00512433">
            <w:pPr>
              <w:keepNext/>
              <w:keepLines/>
              <w:jc w:val="center"/>
              <w:rPr>
                <w:rFonts w:ascii="Arial" w:hAnsi="Arial" w:cs="Arial"/>
                <w:sz w:val="20"/>
                <w:szCs w:val="20"/>
              </w:rPr>
            </w:pPr>
            <w:r>
              <w:rPr>
                <w:rFonts w:ascii="Arial" w:hAnsi="Arial" w:cs="Arial"/>
                <w:sz w:val="20"/>
                <w:szCs w:val="20"/>
              </w:rPr>
              <w:t>580</w:t>
            </w:r>
          </w:p>
        </w:tc>
      </w:tr>
      <w:tr w:rsidR="002B724E" w14:paraId="2B4C98BB" w14:textId="77777777" w:rsidTr="00512433">
        <w:trPr>
          <w:trHeight w:val="242"/>
          <w:jc w:val="center"/>
        </w:trPr>
        <w:tc>
          <w:tcPr>
            <w:tcW w:w="1188" w:type="dxa"/>
            <w:vMerge/>
            <w:shd w:val="clear" w:color="auto" w:fill="auto"/>
            <w:vAlign w:val="center"/>
          </w:tcPr>
          <w:p w14:paraId="29D199EA"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690A7A60"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Reference (MW)</w:t>
            </w:r>
          </w:p>
        </w:tc>
        <w:tc>
          <w:tcPr>
            <w:tcW w:w="1476" w:type="dxa"/>
            <w:shd w:val="clear" w:color="auto" w:fill="auto"/>
          </w:tcPr>
          <w:p w14:paraId="5205A2F2" w14:textId="5C6758FE" w:rsidR="002B724E" w:rsidRPr="009C75E1" w:rsidRDefault="00E4541E" w:rsidP="00512433">
            <w:pPr>
              <w:keepNext/>
              <w:keepLines/>
              <w:jc w:val="center"/>
              <w:rPr>
                <w:rFonts w:ascii="Arial" w:hAnsi="Arial" w:cs="Arial"/>
                <w:sz w:val="20"/>
                <w:szCs w:val="20"/>
              </w:rPr>
            </w:pPr>
            <w:r>
              <w:rPr>
                <w:rFonts w:ascii="Arial" w:hAnsi="Arial" w:cs="Arial"/>
                <w:sz w:val="20"/>
                <w:szCs w:val="20"/>
              </w:rPr>
              <w:t>847</w:t>
            </w:r>
          </w:p>
        </w:tc>
        <w:tc>
          <w:tcPr>
            <w:tcW w:w="1404" w:type="dxa"/>
            <w:shd w:val="clear" w:color="auto" w:fill="auto"/>
          </w:tcPr>
          <w:p w14:paraId="3D48F13C" w14:textId="54B81C12" w:rsidR="002B724E" w:rsidRPr="009C75E1" w:rsidRDefault="00891E28" w:rsidP="00512433">
            <w:pPr>
              <w:keepNext/>
              <w:keepLines/>
              <w:jc w:val="center"/>
              <w:rPr>
                <w:rFonts w:ascii="Arial" w:hAnsi="Arial" w:cs="Arial"/>
                <w:sz w:val="20"/>
                <w:szCs w:val="20"/>
              </w:rPr>
            </w:pPr>
            <w:r>
              <w:rPr>
                <w:rFonts w:ascii="Arial" w:hAnsi="Arial" w:cs="Arial"/>
                <w:sz w:val="20"/>
                <w:szCs w:val="20"/>
              </w:rPr>
              <w:t>664</w:t>
            </w:r>
          </w:p>
        </w:tc>
        <w:tc>
          <w:tcPr>
            <w:tcW w:w="1471" w:type="dxa"/>
            <w:shd w:val="clear" w:color="auto" w:fill="auto"/>
          </w:tcPr>
          <w:p w14:paraId="325B640A" w14:textId="3181F39D" w:rsidR="002B724E" w:rsidRPr="009C75E1" w:rsidRDefault="00E4541E" w:rsidP="00512433">
            <w:pPr>
              <w:keepNext/>
              <w:keepLines/>
              <w:jc w:val="center"/>
              <w:rPr>
                <w:rFonts w:ascii="Arial" w:hAnsi="Arial" w:cs="Arial"/>
                <w:sz w:val="20"/>
                <w:szCs w:val="20"/>
              </w:rPr>
            </w:pPr>
            <w:r>
              <w:rPr>
                <w:rFonts w:ascii="Arial" w:hAnsi="Arial" w:cs="Arial"/>
                <w:sz w:val="20"/>
                <w:szCs w:val="20"/>
              </w:rPr>
              <w:t>568</w:t>
            </w:r>
          </w:p>
        </w:tc>
        <w:tc>
          <w:tcPr>
            <w:tcW w:w="1337" w:type="dxa"/>
            <w:shd w:val="clear" w:color="auto" w:fill="auto"/>
          </w:tcPr>
          <w:p w14:paraId="771993EB" w14:textId="7C5A9481" w:rsidR="002B724E" w:rsidRPr="009C75E1" w:rsidRDefault="00891E28" w:rsidP="00512433">
            <w:pPr>
              <w:keepNext/>
              <w:keepLines/>
              <w:jc w:val="center"/>
              <w:rPr>
                <w:rFonts w:ascii="Arial" w:hAnsi="Arial" w:cs="Arial"/>
                <w:sz w:val="20"/>
                <w:szCs w:val="20"/>
              </w:rPr>
            </w:pPr>
            <w:r>
              <w:rPr>
                <w:rFonts w:ascii="Arial" w:hAnsi="Arial" w:cs="Arial"/>
                <w:sz w:val="20"/>
                <w:szCs w:val="20"/>
              </w:rPr>
              <w:t>410</w:t>
            </w:r>
          </w:p>
        </w:tc>
      </w:tr>
      <w:tr w:rsidR="002B724E" w14:paraId="0042ECD3" w14:textId="77777777" w:rsidTr="00512433">
        <w:trPr>
          <w:jc w:val="center"/>
        </w:trPr>
        <w:tc>
          <w:tcPr>
            <w:tcW w:w="1188" w:type="dxa"/>
            <w:vMerge/>
            <w:shd w:val="clear" w:color="auto" w:fill="auto"/>
            <w:vAlign w:val="center"/>
          </w:tcPr>
          <w:p w14:paraId="348C093D"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7B4B31B0"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Load Impact (MW)</w:t>
            </w:r>
          </w:p>
        </w:tc>
        <w:tc>
          <w:tcPr>
            <w:tcW w:w="1476" w:type="dxa"/>
            <w:shd w:val="clear" w:color="auto" w:fill="auto"/>
          </w:tcPr>
          <w:p w14:paraId="0EBE268D" w14:textId="101CD988" w:rsidR="002B724E" w:rsidRPr="009C75E1" w:rsidRDefault="00E4541E" w:rsidP="00512433">
            <w:pPr>
              <w:keepNext/>
              <w:keepLines/>
              <w:jc w:val="center"/>
              <w:rPr>
                <w:rFonts w:ascii="Arial" w:hAnsi="Arial" w:cs="Arial"/>
                <w:sz w:val="20"/>
                <w:szCs w:val="20"/>
              </w:rPr>
            </w:pPr>
            <w:r>
              <w:rPr>
                <w:rFonts w:ascii="Arial" w:hAnsi="Arial" w:cs="Arial"/>
                <w:sz w:val="20"/>
                <w:szCs w:val="20"/>
              </w:rPr>
              <w:t>43</w:t>
            </w:r>
          </w:p>
        </w:tc>
        <w:tc>
          <w:tcPr>
            <w:tcW w:w="1404" w:type="dxa"/>
            <w:shd w:val="clear" w:color="auto" w:fill="auto"/>
          </w:tcPr>
          <w:p w14:paraId="2FD99B35" w14:textId="3619B169" w:rsidR="002B724E" w:rsidRPr="009C75E1" w:rsidRDefault="00891E28" w:rsidP="00512433">
            <w:pPr>
              <w:keepNext/>
              <w:keepLines/>
              <w:jc w:val="center"/>
              <w:rPr>
                <w:rFonts w:ascii="Arial" w:hAnsi="Arial" w:cs="Arial"/>
                <w:sz w:val="20"/>
                <w:szCs w:val="20"/>
              </w:rPr>
            </w:pPr>
            <w:r>
              <w:rPr>
                <w:rFonts w:ascii="Arial" w:hAnsi="Arial" w:cs="Arial"/>
                <w:sz w:val="20"/>
                <w:szCs w:val="20"/>
              </w:rPr>
              <w:t>33</w:t>
            </w:r>
          </w:p>
        </w:tc>
        <w:tc>
          <w:tcPr>
            <w:tcW w:w="1471" w:type="dxa"/>
            <w:shd w:val="clear" w:color="auto" w:fill="auto"/>
          </w:tcPr>
          <w:p w14:paraId="4A240BA2" w14:textId="616B9BF5" w:rsidR="002B724E" w:rsidRPr="009C75E1" w:rsidRDefault="00E4541E" w:rsidP="00512433">
            <w:pPr>
              <w:keepNext/>
              <w:keepLines/>
              <w:jc w:val="center"/>
              <w:rPr>
                <w:rFonts w:ascii="Arial" w:hAnsi="Arial" w:cs="Arial"/>
                <w:sz w:val="20"/>
                <w:szCs w:val="20"/>
              </w:rPr>
            </w:pPr>
            <w:r>
              <w:rPr>
                <w:rFonts w:ascii="Arial" w:hAnsi="Arial" w:cs="Arial"/>
                <w:sz w:val="20"/>
                <w:szCs w:val="20"/>
              </w:rPr>
              <w:t>3</w:t>
            </w:r>
          </w:p>
        </w:tc>
        <w:tc>
          <w:tcPr>
            <w:tcW w:w="1337" w:type="dxa"/>
            <w:shd w:val="clear" w:color="auto" w:fill="auto"/>
          </w:tcPr>
          <w:p w14:paraId="63DF1559" w14:textId="3A000B5B" w:rsidR="002B724E" w:rsidRPr="009C75E1" w:rsidRDefault="00891E28" w:rsidP="00512433">
            <w:pPr>
              <w:keepNext/>
              <w:keepLines/>
              <w:jc w:val="center"/>
              <w:rPr>
                <w:rFonts w:ascii="Arial" w:hAnsi="Arial" w:cs="Arial"/>
                <w:sz w:val="20"/>
                <w:szCs w:val="20"/>
              </w:rPr>
            </w:pPr>
            <w:r>
              <w:rPr>
                <w:rFonts w:ascii="Arial" w:hAnsi="Arial" w:cs="Arial"/>
                <w:sz w:val="20"/>
                <w:szCs w:val="20"/>
              </w:rPr>
              <w:t>1</w:t>
            </w:r>
          </w:p>
        </w:tc>
      </w:tr>
      <w:tr w:rsidR="002B724E" w14:paraId="4A31B17D" w14:textId="77777777" w:rsidTr="00512433">
        <w:trPr>
          <w:jc w:val="center"/>
        </w:trPr>
        <w:tc>
          <w:tcPr>
            <w:tcW w:w="1188" w:type="dxa"/>
            <w:vMerge w:val="restart"/>
            <w:shd w:val="clear" w:color="auto" w:fill="auto"/>
            <w:vAlign w:val="center"/>
          </w:tcPr>
          <w:p w14:paraId="228406F0" w14:textId="77777777" w:rsidR="002B724E" w:rsidRPr="009C75E1" w:rsidRDefault="002B724E" w:rsidP="00512433">
            <w:pPr>
              <w:keepNext/>
              <w:keepLines/>
              <w:rPr>
                <w:rFonts w:ascii="Arial" w:hAnsi="Arial" w:cs="Arial"/>
                <w:b/>
                <w:sz w:val="20"/>
                <w:szCs w:val="20"/>
              </w:rPr>
            </w:pPr>
            <w:r w:rsidRPr="009C75E1">
              <w:rPr>
                <w:rFonts w:ascii="Arial" w:hAnsi="Arial" w:cs="Arial"/>
                <w:b/>
                <w:sz w:val="20"/>
                <w:szCs w:val="20"/>
              </w:rPr>
              <w:t>Per SAID</w:t>
            </w:r>
          </w:p>
        </w:tc>
        <w:tc>
          <w:tcPr>
            <w:tcW w:w="1980" w:type="dxa"/>
            <w:shd w:val="clear" w:color="auto" w:fill="auto"/>
          </w:tcPr>
          <w:p w14:paraId="3E0AE614"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Reference (kW)</w:t>
            </w:r>
          </w:p>
        </w:tc>
        <w:tc>
          <w:tcPr>
            <w:tcW w:w="1476" w:type="dxa"/>
            <w:shd w:val="clear" w:color="auto" w:fill="auto"/>
          </w:tcPr>
          <w:p w14:paraId="43295AAB" w14:textId="3DD1FE90" w:rsidR="002B724E" w:rsidRPr="009C75E1" w:rsidRDefault="00E4541E" w:rsidP="00512433">
            <w:pPr>
              <w:keepNext/>
              <w:keepLines/>
              <w:jc w:val="center"/>
              <w:rPr>
                <w:rFonts w:ascii="Arial" w:hAnsi="Arial" w:cs="Arial"/>
                <w:sz w:val="20"/>
                <w:szCs w:val="20"/>
              </w:rPr>
            </w:pPr>
            <w:r>
              <w:rPr>
                <w:rFonts w:ascii="Arial" w:hAnsi="Arial" w:cs="Arial"/>
                <w:sz w:val="20"/>
                <w:szCs w:val="20"/>
              </w:rPr>
              <w:t>918</w:t>
            </w:r>
          </w:p>
        </w:tc>
        <w:tc>
          <w:tcPr>
            <w:tcW w:w="1404" w:type="dxa"/>
            <w:shd w:val="clear" w:color="auto" w:fill="auto"/>
          </w:tcPr>
          <w:p w14:paraId="24881DF3" w14:textId="12B7DEF1" w:rsidR="002B724E" w:rsidRPr="009C75E1" w:rsidRDefault="00891E28" w:rsidP="00512433">
            <w:pPr>
              <w:keepNext/>
              <w:keepLines/>
              <w:jc w:val="center"/>
              <w:rPr>
                <w:rFonts w:ascii="Arial" w:hAnsi="Arial" w:cs="Arial"/>
                <w:sz w:val="20"/>
                <w:szCs w:val="20"/>
              </w:rPr>
            </w:pPr>
            <w:r>
              <w:rPr>
                <w:rFonts w:ascii="Arial" w:hAnsi="Arial" w:cs="Arial"/>
                <w:sz w:val="20"/>
                <w:szCs w:val="20"/>
              </w:rPr>
              <w:t>847</w:t>
            </w:r>
          </w:p>
        </w:tc>
        <w:tc>
          <w:tcPr>
            <w:tcW w:w="1471" w:type="dxa"/>
            <w:shd w:val="clear" w:color="auto" w:fill="auto"/>
          </w:tcPr>
          <w:p w14:paraId="14F1C63A" w14:textId="1076600D" w:rsidR="002B724E" w:rsidRPr="009C75E1" w:rsidRDefault="00E4541E" w:rsidP="00512433">
            <w:pPr>
              <w:keepNext/>
              <w:keepLines/>
              <w:jc w:val="center"/>
              <w:rPr>
                <w:rFonts w:ascii="Arial" w:hAnsi="Arial" w:cs="Arial"/>
                <w:sz w:val="20"/>
                <w:szCs w:val="20"/>
              </w:rPr>
            </w:pPr>
            <w:r>
              <w:rPr>
                <w:rFonts w:ascii="Arial" w:hAnsi="Arial" w:cs="Arial"/>
                <w:sz w:val="20"/>
                <w:szCs w:val="20"/>
              </w:rPr>
              <w:t>833</w:t>
            </w:r>
          </w:p>
        </w:tc>
        <w:tc>
          <w:tcPr>
            <w:tcW w:w="1337" w:type="dxa"/>
            <w:shd w:val="clear" w:color="auto" w:fill="auto"/>
          </w:tcPr>
          <w:p w14:paraId="1A4E5579" w14:textId="2EC06A84" w:rsidR="002B724E" w:rsidRPr="009C75E1" w:rsidRDefault="00891E28" w:rsidP="00512433">
            <w:pPr>
              <w:keepNext/>
              <w:keepLines/>
              <w:jc w:val="center"/>
              <w:rPr>
                <w:rFonts w:ascii="Arial" w:hAnsi="Arial" w:cs="Arial"/>
                <w:sz w:val="20"/>
                <w:szCs w:val="20"/>
              </w:rPr>
            </w:pPr>
            <w:r>
              <w:rPr>
                <w:rFonts w:ascii="Arial" w:hAnsi="Arial" w:cs="Arial"/>
                <w:sz w:val="20"/>
                <w:szCs w:val="20"/>
              </w:rPr>
              <w:t>706</w:t>
            </w:r>
          </w:p>
        </w:tc>
      </w:tr>
      <w:tr w:rsidR="002B724E" w14:paraId="726987D3" w14:textId="77777777" w:rsidTr="00512433">
        <w:trPr>
          <w:jc w:val="center"/>
        </w:trPr>
        <w:tc>
          <w:tcPr>
            <w:tcW w:w="1188" w:type="dxa"/>
            <w:vMerge/>
            <w:shd w:val="clear" w:color="auto" w:fill="auto"/>
          </w:tcPr>
          <w:p w14:paraId="6F72DA87"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2436703F"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Load Impact (kW)</w:t>
            </w:r>
          </w:p>
        </w:tc>
        <w:tc>
          <w:tcPr>
            <w:tcW w:w="1476" w:type="dxa"/>
            <w:shd w:val="clear" w:color="auto" w:fill="auto"/>
          </w:tcPr>
          <w:p w14:paraId="577CD676" w14:textId="3C1FB114" w:rsidR="002B724E" w:rsidRPr="009C75E1" w:rsidRDefault="00E4541E" w:rsidP="00512433">
            <w:pPr>
              <w:keepNext/>
              <w:keepLines/>
              <w:jc w:val="center"/>
              <w:rPr>
                <w:rFonts w:ascii="Arial" w:hAnsi="Arial" w:cs="Arial"/>
                <w:sz w:val="20"/>
                <w:szCs w:val="20"/>
              </w:rPr>
            </w:pPr>
            <w:r>
              <w:rPr>
                <w:rFonts w:ascii="Arial" w:hAnsi="Arial" w:cs="Arial"/>
                <w:sz w:val="20"/>
                <w:szCs w:val="20"/>
              </w:rPr>
              <w:t>46</w:t>
            </w:r>
          </w:p>
        </w:tc>
        <w:tc>
          <w:tcPr>
            <w:tcW w:w="1404" w:type="dxa"/>
            <w:shd w:val="clear" w:color="auto" w:fill="auto"/>
          </w:tcPr>
          <w:p w14:paraId="6B3C41D5" w14:textId="32F07634" w:rsidR="002B724E" w:rsidRPr="009C75E1" w:rsidRDefault="00891E28" w:rsidP="00512433">
            <w:pPr>
              <w:keepNext/>
              <w:keepLines/>
              <w:jc w:val="center"/>
              <w:rPr>
                <w:rFonts w:ascii="Arial" w:hAnsi="Arial" w:cs="Arial"/>
                <w:sz w:val="20"/>
                <w:szCs w:val="20"/>
              </w:rPr>
            </w:pPr>
            <w:r>
              <w:rPr>
                <w:rFonts w:ascii="Arial" w:hAnsi="Arial" w:cs="Arial"/>
                <w:sz w:val="20"/>
                <w:szCs w:val="20"/>
              </w:rPr>
              <w:t>41</w:t>
            </w:r>
          </w:p>
        </w:tc>
        <w:tc>
          <w:tcPr>
            <w:tcW w:w="1471" w:type="dxa"/>
            <w:shd w:val="clear" w:color="auto" w:fill="auto"/>
          </w:tcPr>
          <w:p w14:paraId="01B687D6" w14:textId="284F957C" w:rsidR="002B724E" w:rsidRPr="009C75E1" w:rsidRDefault="00E4541E" w:rsidP="00512433">
            <w:pPr>
              <w:keepNext/>
              <w:keepLines/>
              <w:jc w:val="center"/>
              <w:rPr>
                <w:rFonts w:ascii="Arial" w:hAnsi="Arial" w:cs="Arial"/>
                <w:sz w:val="20"/>
                <w:szCs w:val="20"/>
              </w:rPr>
            </w:pPr>
            <w:r>
              <w:rPr>
                <w:rFonts w:ascii="Arial" w:hAnsi="Arial" w:cs="Arial"/>
                <w:sz w:val="20"/>
                <w:szCs w:val="20"/>
              </w:rPr>
              <w:t>5</w:t>
            </w:r>
          </w:p>
        </w:tc>
        <w:tc>
          <w:tcPr>
            <w:tcW w:w="1337" w:type="dxa"/>
            <w:shd w:val="clear" w:color="auto" w:fill="auto"/>
          </w:tcPr>
          <w:p w14:paraId="5285CF2B" w14:textId="26C3163B" w:rsidR="002B724E" w:rsidRPr="009C75E1" w:rsidRDefault="00891E28" w:rsidP="00512433">
            <w:pPr>
              <w:keepNext/>
              <w:keepLines/>
              <w:jc w:val="center"/>
              <w:rPr>
                <w:rFonts w:ascii="Arial" w:hAnsi="Arial" w:cs="Arial"/>
                <w:sz w:val="20"/>
                <w:szCs w:val="20"/>
              </w:rPr>
            </w:pPr>
            <w:r>
              <w:rPr>
                <w:rFonts w:ascii="Arial" w:hAnsi="Arial" w:cs="Arial"/>
                <w:sz w:val="20"/>
                <w:szCs w:val="20"/>
              </w:rPr>
              <w:t>2</w:t>
            </w:r>
          </w:p>
        </w:tc>
      </w:tr>
      <w:tr w:rsidR="002B724E" w14:paraId="3CF45BC8" w14:textId="77777777" w:rsidTr="00512433">
        <w:trPr>
          <w:jc w:val="center"/>
        </w:trPr>
        <w:tc>
          <w:tcPr>
            <w:tcW w:w="1188" w:type="dxa"/>
            <w:vMerge/>
            <w:shd w:val="clear" w:color="auto" w:fill="auto"/>
          </w:tcPr>
          <w:p w14:paraId="558CAD60"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10E4224E"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 Load Impact</w:t>
            </w:r>
          </w:p>
        </w:tc>
        <w:tc>
          <w:tcPr>
            <w:tcW w:w="1476" w:type="dxa"/>
            <w:shd w:val="clear" w:color="auto" w:fill="auto"/>
          </w:tcPr>
          <w:p w14:paraId="1B04C96E" w14:textId="26D93325" w:rsidR="002B724E" w:rsidRPr="009C75E1" w:rsidRDefault="00E4541E" w:rsidP="00512433">
            <w:pPr>
              <w:keepNext/>
              <w:keepLines/>
              <w:jc w:val="center"/>
              <w:rPr>
                <w:rFonts w:ascii="Arial" w:hAnsi="Arial" w:cs="Arial"/>
                <w:sz w:val="20"/>
                <w:szCs w:val="20"/>
              </w:rPr>
            </w:pPr>
            <w:r>
              <w:rPr>
                <w:rFonts w:ascii="Arial" w:hAnsi="Arial" w:cs="Arial"/>
                <w:sz w:val="20"/>
                <w:szCs w:val="20"/>
              </w:rPr>
              <w:t>5.0%</w:t>
            </w:r>
          </w:p>
        </w:tc>
        <w:tc>
          <w:tcPr>
            <w:tcW w:w="1404" w:type="dxa"/>
            <w:shd w:val="clear" w:color="auto" w:fill="auto"/>
          </w:tcPr>
          <w:p w14:paraId="21B03231" w14:textId="4DF37AA3" w:rsidR="002B724E" w:rsidRPr="009C75E1" w:rsidRDefault="00891E28" w:rsidP="00512433">
            <w:pPr>
              <w:keepNext/>
              <w:keepLines/>
              <w:jc w:val="center"/>
              <w:rPr>
                <w:rFonts w:ascii="Arial" w:hAnsi="Arial" w:cs="Arial"/>
                <w:sz w:val="20"/>
                <w:szCs w:val="20"/>
              </w:rPr>
            </w:pPr>
            <w:r>
              <w:rPr>
                <w:rFonts w:ascii="Arial" w:hAnsi="Arial" w:cs="Arial"/>
                <w:sz w:val="20"/>
                <w:szCs w:val="20"/>
              </w:rPr>
              <w:t>4.9%</w:t>
            </w:r>
          </w:p>
        </w:tc>
        <w:tc>
          <w:tcPr>
            <w:tcW w:w="1471" w:type="dxa"/>
            <w:shd w:val="clear" w:color="auto" w:fill="auto"/>
          </w:tcPr>
          <w:p w14:paraId="7F82423C" w14:textId="102689D2" w:rsidR="002B724E" w:rsidRPr="009C75E1" w:rsidRDefault="00E4541E" w:rsidP="00512433">
            <w:pPr>
              <w:keepNext/>
              <w:keepLines/>
              <w:jc w:val="center"/>
              <w:rPr>
                <w:rFonts w:ascii="Arial" w:hAnsi="Arial" w:cs="Arial"/>
                <w:sz w:val="20"/>
                <w:szCs w:val="20"/>
              </w:rPr>
            </w:pPr>
            <w:r>
              <w:rPr>
                <w:rFonts w:ascii="Arial" w:hAnsi="Arial" w:cs="Arial"/>
                <w:sz w:val="20"/>
                <w:szCs w:val="20"/>
              </w:rPr>
              <w:t>0.6%</w:t>
            </w:r>
          </w:p>
        </w:tc>
        <w:tc>
          <w:tcPr>
            <w:tcW w:w="1337" w:type="dxa"/>
            <w:shd w:val="clear" w:color="auto" w:fill="auto"/>
          </w:tcPr>
          <w:p w14:paraId="43340017" w14:textId="2538ABD4" w:rsidR="002B724E" w:rsidRPr="009C75E1" w:rsidRDefault="00891E28" w:rsidP="00512433">
            <w:pPr>
              <w:keepNext/>
              <w:keepLines/>
              <w:jc w:val="center"/>
              <w:rPr>
                <w:rFonts w:ascii="Arial" w:hAnsi="Arial" w:cs="Arial"/>
                <w:sz w:val="20"/>
                <w:szCs w:val="20"/>
              </w:rPr>
            </w:pPr>
            <w:r>
              <w:rPr>
                <w:rFonts w:ascii="Arial" w:hAnsi="Arial" w:cs="Arial"/>
                <w:sz w:val="20"/>
                <w:szCs w:val="20"/>
              </w:rPr>
              <w:t>0.3%</w:t>
            </w:r>
          </w:p>
        </w:tc>
      </w:tr>
    </w:tbl>
    <w:p w14:paraId="0571D0F1" w14:textId="77777777" w:rsidR="002B724E" w:rsidRDefault="002B724E" w:rsidP="002B724E"/>
    <w:p w14:paraId="7A695363" w14:textId="560C9CA7" w:rsidR="002B724E" w:rsidRDefault="00F958C0" w:rsidP="002B724E">
      <w:r>
        <w:t xml:space="preserve">Even though forecast enrollments are substantially lower in the current forecast, this has little effect on the forecast load impacts because the vast majority of the load </w:t>
      </w:r>
      <w:r>
        <w:lastRenderedPageBreak/>
        <w:t xml:space="preserve">impacts come from a core of large responders who are present in both forecasts. The load impacts in the current forecast are lower than the load impacts in the previous forecast because of changes in customer demand responsiveness over time. The previous study based </w:t>
      </w:r>
      <w:r w:rsidR="00933F01" w:rsidRPr="00933F01">
        <w:rPr>
          <w:i/>
        </w:rPr>
        <w:t>ex-ante</w:t>
      </w:r>
      <w:r>
        <w:t xml:space="preserve"> load impacts on </w:t>
      </w:r>
      <w:r w:rsidR="00933F01" w:rsidRPr="00933F01">
        <w:rPr>
          <w:i/>
        </w:rPr>
        <w:t>ex-post</w:t>
      </w:r>
      <w:r>
        <w:t xml:space="preserve"> load impacts from PY2011 through PY2013, while the current study used PY2012 through PY2014. It happened to be the case that load impacts decreased for some of the large responders. </w:t>
      </w:r>
      <w:r w:rsidR="00F51511">
        <w:t>For example, t</w:t>
      </w:r>
      <w:r>
        <w:t>he three service accounts with the largest decrease in load impacts across forecasts account for a 6.3 MW decrease in the program-level load impact.</w:t>
      </w:r>
    </w:p>
    <w:p w14:paraId="5D1009F8" w14:textId="77777777" w:rsidR="00F958C0" w:rsidRDefault="00F958C0" w:rsidP="002B724E"/>
    <w:p w14:paraId="4B5B4D6E" w14:textId="29B17E0E" w:rsidR="00F958C0" w:rsidRDefault="00F958C0" w:rsidP="002B724E">
      <w:r>
        <w:t>On average, the PY2014 event days had a lower amount of bids (30.5 MW versus 41.2 in PY2013) and a slightly lower bid realization rate (82 percent versus 87 percent in PY2013). These factors contributed to the reduction in the forecast load impacts across studies.</w:t>
      </w:r>
    </w:p>
    <w:p w14:paraId="6BB35E65" w14:textId="5BDE95C2" w:rsidR="00F958C0" w:rsidRDefault="002B724E" w:rsidP="00F958C0">
      <w:pPr>
        <w:pStyle w:val="Heading3"/>
      </w:pPr>
      <w:bookmarkStart w:id="295" w:name="_Toc383597954"/>
      <w:bookmarkStart w:id="296" w:name="_Toc415761849"/>
      <w:r>
        <w:t xml:space="preserve">6.1.3 Previous </w:t>
      </w:r>
      <w:r w:rsidR="00933F01" w:rsidRPr="00933F01">
        <w:rPr>
          <w:i/>
        </w:rPr>
        <w:t>ex-ante</w:t>
      </w:r>
      <w:r>
        <w:t xml:space="preserve"> versus current </w:t>
      </w:r>
      <w:r w:rsidR="00933F01" w:rsidRPr="00933F01">
        <w:rPr>
          <w:i/>
        </w:rPr>
        <w:t>ex-post</w:t>
      </w:r>
      <w:bookmarkEnd w:id="295"/>
      <w:bookmarkEnd w:id="296"/>
    </w:p>
    <w:p w14:paraId="605D9E45" w14:textId="3432794F" w:rsidR="002B724E" w:rsidRDefault="002B724E" w:rsidP="002B724E">
      <w:r>
        <w:t xml:space="preserve">Table 6.3 provides a comparison of the </w:t>
      </w:r>
      <w:r w:rsidR="00933F01" w:rsidRPr="00933F01">
        <w:rPr>
          <w:i/>
        </w:rPr>
        <w:t>ex-ante</w:t>
      </w:r>
      <w:r>
        <w:t xml:space="preserve"> forecast of 201</w:t>
      </w:r>
      <w:r w:rsidR="00C32F72">
        <w:t>4</w:t>
      </w:r>
      <w:r>
        <w:t xml:space="preserve"> load impacts prepared following PY2013 and the PY201</w:t>
      </w:r>
      <w:r w:rsidR="00C32F72">
        <w:t>4</w:t>
      </w:r>
      <w:r>
        <w:t xml:space="preserve"> load impacts estimated as part of this study. The </w:t>
      </w:r>
      <w:r w:rsidR="00933F01" w:rsidRPr="00933F01">
        <w:rPr>
          <w:i/>
        </w:rPr>
        <w:t>ex-ante</w:t>
      </w:r>
      <w:r>
        <w:t xml:space="preserve"> forecast shown in the table represents the typical event day during a 1-in-2 weather year. The </w:t>
      </w:r>
      <w:r w:rsidR="00933F01" w:rsidRPr="00933F01">
        <w:rPr>
          <w:i/>
        </w:rPr>
        <w:t>ex-post</w:t>
      </w:r>
      <w:r>
        <w:t xml:space="preserve"> load impacts are averaged across the </w:t>
      </w:r>
      <w:r w:rsidR="00C32F72">
        <w:t xml:space="preserve">nine </w:t>
      </w:r>
      <w:r>
        <w:t>PY201</w:t>
      </w:r>
      <w:r w:rsidR="00C32F72">
        <w:t>4</w:t>
      </w:r>
      <w:r>
        <w:t xml:space="preserve"> event days during which all DBP customers were given the opportunity to bid (</w:t>
      </w:r>
      <w:r w:rsidR="00C32F72">
        <w:t xml:space="preserve">June 30, </w:t>
      </w:r>
      <w:r>
        <w:t xml:space="preserve">July </w:t>
      </w:r>
      <w:r w:rsidR="00C32F72">
        <w:t>7</w:t>
      </w:r>
      <w:r>
        <w:t xml:space="preserve">, July </w:t>
      </w:r>
      <w:r w:rsidR="00C32F72">
        <w:t>28</w:t>
      </w:r>
      <w:r>
        <w:t>,</w:t>
      </w:r>
      <w:r w:rsidR="00C32F72">
        <w:t xml:space="preserve"> July 29, July 30, July 31, August 1, September 15,</w:t>
      </w:r>
      <w:r>
        <w:t xml:space="preserve"> and September </w:t>
      </w:r>
      <w:r w:rsidR="00C32F72">
        <w:t>16</w:t>
      </w:r>
      <w:r>
        <w:t>).</w:t>
      </w:r>
    </w:p>
    <w:p w14:paraId="028D93D6" w14:textId="77777777" w:rsidR="002B724E" w:rsidRDefault="002B724E" w:rsidP="002B724E"/>
    <w:p w14:paraId="0C6D3942" w14:textId="0E06B9AD" w:rsidR="002B724E" w:rsidRDefault="002B724E" w:rsidP="002B724E">
      <w:r>
        <w:t>The forecast included somewhat more customers than were enrolled during PY201</w:t>
      </w:r>
      <w:r w:rsidR="00C32F72">
        <w:t>4</w:t>
      </w:r>
      <w:r>
        <w:t xml:space="preserve"> (</w:t>
      </w:r>
      <w:r w:rsidR="00C32F72">
        <w:t>923</w:t>
      </w:r>
      <w:r>
        <w:t xml:space="preserve"> versus </w:t>
      </w:r>
      <w:r w:rsidR="00C32F72">
        <w:t>846</w:t>
      </w:r>
      <w:r>
        <w:t xml:space="preserve">), but the difference is not large enough to account for the substantial difference in load impacts. The forecast called for an average load impact of </w:t>
      </w:r>
      <w:r w:rsidR="00C32F72">
        <w:t>43</w:t>
      </w:r>
      <w:r>
        <w:t xml:space="preserve"> MW, whereas we estimated an average load impact of </w:t>
      </w:r>
      <w:r w:rsidR="00C32F72">
        <w:t>25</w:t>
      </w:r>
      <w:r>
        <w:t xml:space="preserve"> MW during PY201</w:t>
      </w:r>
      <w:r w:rsidR="00C32F72">
        <w:t>4</w:t>
      </w:r>
      <w:r>
        <w:t xml:space="preserve">. </w:t>
      </w:r>
    </w:p>
    <w:p w14:paraId="553A5B84" w14:textId="77777777" w:rsidR="002B724E" w:rsidRDefault="002B724E" w:rsidP="002B724E"/>
    <w:p w14:paraId="3AD5ACD0" w14:textId="2018F45F" w:rsidR="002B724E" w:rsidRPr="00376F46" w:rsidRDefault="002B724E" w:rsidP="002B724E">
      <w:pPr>
        <w:pStyle w:val="TableCaption"/>
        <w:keepNext/>
        <w:keepLines/>
      </w:pPr>
      <w:bookmarkStart w:id="297" w:name="_Toc383598018"/>
      <w:bookmarkStart w:id="298" w:name="_Toc415761896"/>
      <w:r w:rsidRPr="00376F46">
        <w:t xml:space="preserve">Table </w:t>
      </w:r>
      <w:r>
        <w:t>6</w:t>
      </w:r>
      <w:r w:rsidRPr="00376F46">
        <w:t>.</w:t>
      </w:r>
      <w:r>
        <w:t>3</w:t>
      </w:r>
      <w:r w:rsidRPr="00376F46">
        <w:t xml:space="preserve"> Comparison of </w:t>
      </w:r>
      <w:r>
        <w:t xml:space="preserve">Previous </w:t>
      </w:r>
      <w:r w:rsidR="00933F01" w:rsidRPr="00933F01">
        <w:rPr>
          <w:i/>
        </w:rPr>
        <w:t>Ex-ante</w:t>
      </w:r>
      <w:r>
        <w:t xml:space="preserve"> and Current </w:t>
      </w:r>
      <w:r w:rsidR="00933F01" w:rsidRPr="00933F01">
        <w:rPr>
          <w:i/>
        </w:rPr>
        <w:t>Ex-post</w:t>
      </w:r>
      <w:r>
        <w:t xml:space="preserve"> </w:t>
      </w:r>
      <w:r w:rsidRPr="00376F46">
        <w:t>Impacts</w:t>
      </w:r>
      <w:r>
        <w:t>,</w:t>
      </w:r>
      <w:r w:rsidRPr="00376F46">
        <w:t xml:space="preserve"> </w:t>
      </w:r>
      <w:r>
        <w:rPr>
          <w:i/>
        </w:rPr>
        <w:t>PG&amp;E</w:t>
      </w:r>
      <w:bookmarkEnd w:id="297"/>
      <w:bookmarkEnd w:id="29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2B724E" w14:paraId="177B546B" w14:textId="77777777" w:rsidTr="00512433">
        <w:trPr>
          <w:jc w:val="center"/>
        </w:trPr>
        <w:tc>
          <w:tcPr>
            <w:tcW w:w="1548" w:type="dxa"/>
            <w:shd w:val="clear" w:color="auto" w:fill="D9E2F3"/>
            <w:vAlign w:val="center"/>
          </w:tcPr>
          <w:p w14:paraId="32537843"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47396DDE"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0138BB17" w14:textId="77777777" w:rsidR="002B724E" w:rsidRPr="009C75E1" w:rsidRDefault="002B724E" w:rsidP="00512433">
            <w:pPr>
              <w:keepNext/>
              <w:keepLines/>
              <w:jc w:val="center"/>
              <w:rPr>
                <w:rFonts w:ascii="Arial" w:hAnsi="Arial" w:cs="Arial"/>
                <w:b/>
                <w:sz w:val="20"/>
                <w:szCs w:val="20"/>
              </w:rPr>
            </w:pPr>
          </w:p>
          <w:p w14:paraId="786E01DF" w14:textId="1213732D" w:rsidR="002B724E" w:rsidRPr="009C75E1" w:rsidRDefault="00933F01" w:rsidP="00512433">
            <w:pPr>
              <w:keepNext/>
              <w:keepLines/>
              <w:jc w:val="center"/>
              <w:rPr>
                <w:rFonts w:ascii="Arial" w:hAnsi="Arial" w:cs="Arial"/>
                <w:b/>
                <w:sz w:val="20"/>
                <w:szCs w:val="20"/>
              </w:rPr>
            </w:pPr>
            <w:r w:rsidRPr="00933F01">
              <w:rPr>
                <w:rFonts w:ascii="Arial" w:hAnsi="Arial" w:cs="Arial"/>
                <w:b/>
                <w:i/>
                <w:sz w:val="20"/>
                <w:szCs w:val="20"/>
              </w:rPr>
              <w:t>Ex-ante</w:t>
            </w:r>
            <w:r w:rsidR="002B724E">
              <w:rPr>
                <w:rFonts w:ascii="Arial" w:hAnsi="Arial" w:cs="Arial"/>
                <w:b/>
                <w:sz w:val="20"/>
                <w:szCs w:val="20"/>
              </w:rPr>
              <w:t xml:space="preserve"> for TED in PY201</w:t>
            </w:r>
            <w:r w:rsidR="00C32F72">
              <w:rPr>
                <w:rFonts w:ascii="Arial" w:hAnsi="Arial" w:cs="Arial"/>
                <w:b/>
                <w:sz w:val="20"/>
                <w:szCs w:val="20"/>
              </w:rPr>
              <w:t>4</w:t>
            </w:r>
            <w:r w:rsidR="002B724E">
              <w:rPr>
                <w:rFonts w:ascii="Arial" w:hAnsi="Arial" w:cs="Arial"/>
                <w:b/>
                <w:sz w:val="20"/>
                <w:szCs w:val="20"/>
              </w:rPr>
              <w:t>, following PY201</w:t>
            </w:r>
            <w:r w:rsidR="00C32F72">
              <w:rPr>
                <w:rFonts w:ascii="Arial" w:hAnsi="Arial" w:cs="Arial"/>
                <w:b/>
                <w:sz w:val="20"/>
                <w:szCs w:val="20"/>
              </w:rPr>
              <w:t>3</w:t>
            </w:r>
            <w:r w:rsidR="002B724E">
              <w:rPr>
                <w:rFonts w:ascii="Arial" w:hAnsi="Arial" w:cs="Arial"/>
                <w:b/>
                <w:sz w:val="20"/>
                <w:szCs w:val="20"/>
              </w:rPr>
              <w:t xml:space="preserve"> Study</w:t>
            </w:r>
          </w:p>
          <w:p w14:paraId="2F4AC1C6" w14:textId="77777777" w:rsidR="002B724E" w:rsidRPr="009C75E1" w:rsidRDefault="002B724E" w:rsidP="00512433">
            <w:pPr>
              <w:keepNext/>
              <w:keepLines/>
              <w:jc w:val="center"/>
              <w:rPr>
                <w:rFonts w:ascii="Arial" w:hAnsi="Arial" w:cs="Arial"/>
                <w:b/>
                <w:sz w:val="20"/>
                <w:szCs w:val="20"/>
              </w:rPr>
            </w:pPr>
          </w:p>
        </w:tc>
        <w:tc>
          <w:tcPr>
            <w:tcW w:w="1772" w:type="dxa"/>
            <w:shd w:val="clear" w:color="auto" w:fill="D9E2F3"/>
            <w:vAlign w:val="center"/>
          </w:tcPr>
          <w:p w14:paraId="61F88E63" w14:textId="027F2E8C" w:rsidR="002B724E" w:rsidRPr="009C75E1" w:rsidRDefault="00933F01" w:rsidP="00512433">
            <w:pPr>
              <w:keepNext/>
              <w:keepLines/>
              <w:jc w:val="center"/>
              <w:rPr>
                <w:rFonts w:ascii="Arial" w:hAnsi="Arial" w:cs="Arial"/>
                <w:b/>
                <w:sz w:val="20"/>
                <w:szCs w:val="20"/>
              </w:rPr>
            </w:pPr>
            <w:r w:rsidRPr="00933F01">
              <w:rPr>
                <w:rFonts w:ascii="Arial" w:hAnsi="Arial" w:cs="Arial"/>
                <w:b/>
                <w:i/>
                <w:sz w:val="20"/>
                <w:szCs w:val="20"/>
              </w:rPr>
              <w:t>Ex-post</w:t>
            </w:r>
            <w:r w:rsidR="002B724E">
              <w:rPr>
                <w:rFonts w:ascii="Arial" w:hAnsi="Arial" w:cs="Arial"/>
                <w:b/>
                <w:sz w:val="20"/>
                <w:szCs w:val="20"/>
              </w:rPr>
              <w:t xml:space="preserve"> Average Event Day, </w:t>
            </w:r>
            <w:r w:rsidR="00C32F72">
              <w:rPr>
                <w:rFonts w:ascii="Arial" w:hAnsi="Arial" w:cs="Arial"/>
                <w:b/>
                <w:sz w:val="20"/>
                <w:szCs w:val="20"/>
              </w:rPr>
              <w:t>PY2014</w:t>
            </w:r>
          </w:p>
        </w:tc>
      </w:tr>
      <w:tr w:rsidR="00C32F72" w14:paraId="07A7D37A" w14:textId="77777777" w:rsidTr="006855DF">
        <w:trPr>
          <w:jc w:val="center"/>
        </w:trPr>
        <w:tc>
          <w:tcPr>
            <w:tcW w:w="1548" w:type="dxa"/>
            <w:vMerge w:val="restart"/>
            <w:shd w:val="clear" w:color="auto" w:fill="auto"/>
            <w:vAlign w:val="center"/>
          </w:tcPr>
          <w:p w14:paraId="71624849" w14:textId="77777777" w:rsidR="00C32F72" w:rsidRPr="009C75E1" w:rsidRDefault="00C32F72" w:rsidP="00C32F72">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627C1A4B" w14:textId="77777777" w:rsidR="00C32F72" w:rsidRPr="009C75E1" w:rsidRDefault="00C32F72" w:rsidP="00C32F72">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tcPr>
          <w:p w14:paraId="4E09A02A" w14:textId="07229C8B" w:rsidR="00C32F72" w:rsidRPr="009C75E1" w:rsidRDefault="00C32F72" w:rsidP="00C32F72">
            <w:pPr>
              <w:keepNext/>
              <w:keepLines/>
              <w:jc w:val="center"/>
              <w:rPr>
                <w:rFonts w:ascii="Arial" w:hAnsi="Arial" w:cs="Arial"/>
                <w:sz w:val="20"/>
                <w:szCs w:val="20"/>
              </w:rPr>
            </w:pPr>
            <w:r>
              <w:rPr>
                <w:rFonts w:ascii="Arial" w:hAnsi="Arial" w:cs="Arial"/>
                <w:sz w:val="20"/>
                <w:szCs w:val="20"/>
              </w:rPr>
              <w:t>923</w:t>
            </w:r>
          </w:p>
        </w:tc>
        <w:tc>
          <w:tcPr>
            <w:tcW w:w="1772" w:type="dxa"/>
            <w:shd w:val="clear" w:color="auto" w:fill="auto"/>
            <w:vAlign w:val="center"/>
          </w:tcPr>
          <w:p w14:paraId="62523AD4" w14:textId="1EF1E9A4" w:rsidR="00C32F72" w:rsidRPr="009C75E1" w:rsidRDefault="00C32F72" w:rsidP="00C32F72">
            <w:pPr>
              <w:keepNext/>
              <w:keepLines/>
              <w:jc w:val="center"/>
              <w:rPr>
                <w:rFonts w:ascii="Arial" w:hAnsi="Arial" w:cs="Arial"/>
                <w:sz w:val="20"/>
                <w:szCs w:val="20"/>
              </w:rPr>
            </w:pPr>
            <w:r>
              <w:rPr>
                <w:rFonts w:ascii="Arial" w:hAnsi="Arial" w:cs="Arial"/>
                <w:sz w:val="20"/>
                <w:szCs w:val="20"/>
              </w:rPr>
              <w:t>846</w:t>
            </w:r>
          </w:p>
        </w:tc>
      </w:tr>
      <w:tr w:rsidR="00C32F72" w14:paraId="11E2429B" w14:textId="77777777" w:rsidTr="006855DF">
        <w:trPr>
          <w:trHeight w:val="242"/>
          <w:jc w:val="center"/>
        </w:trPr>
        <w:tc>
          <w:tcPr>
            <w:tcW w:w="1548" w:type="dxa"/>
            <w:vMerge/>
            <w:shd w:val="clear" w:color="auto" w:fill="auto"/>
            <w:vAlign w:val="center"/>
          </w:tcPr>
          <w:p w14:paraId="4C68977B" w14:textId="77777777" w:rsidR="00C32F72" w:rsidRPr="009C75E1" w:rsidRDefault="00C32F72" w:rsidP="00C32F72">
            <w:pPr>
              <w:keepNext/>
              <w:keepLines/>
              <w:rPr>
                <w:rFonts w:ascii="Arial" w:hAnsi="Arial" w:cs="Arial"/>
                <w:sz w:val="20"/>
                <w:szCs w:val="20"/>
              </w:rPr>
            </w:pPr>
          </w:p>
        </w:tc>
        <w:tc>
          <w:tcPr>
            <w:tcW w:w="1994" w:type="dxa"/>
            <w:shd w:val="clear" w:color="auto" w:fill="auto"/>
          </w:tcPr>
          <w:p w14:paraId="6388314F" w14:textId="77777777" w:rsidR="00C32F72" w:rsidRPr="009C75E1" w:rsidRDefault="00C32F72" w:rsidP="00C32F72">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tcPr>
          <w:p w14:paraId="7AD8858D" w14:textId="0E422458" w:rsidR="00C32F72" w:rsidRPr="009C75E1" w:rsidRDefault="00C32F72" w:rsidP="00C32F72">
            <w:pPr>
              <w:keepNext/>
              <w:keepLines/>
              <w:jc w:val="center"/>
              <w:rPr>
                <w:rFonts w:ascii="Arial" w:hAnsi="Arial" w:cs="Arial"/>
                <w:sz w:val="20"/>
                <w:szCs w:val="20"/>
              </w:rPr>
            </w:pPr>
            <w:r>
              <w:rPr>
                <w:rFonts w:ascii="Arial" w:hAnsi="Arial" w:cs="Arial"/>
                <w:sz w:val="20"/>
                <w:szCs w:val="20"/>
              </w:rPr>
              <w:t>847</w:t>
            </w:r>
          </w:p>
        </w:tc>
        <w:tc>
          <w:tcPr>
            <w:tcW w:w="1772" w:type="dxa"/>
            <w:shd w:val="clear" w:color="auto" w:fill="auto"/>
            <w:vAlign w:val="center"/>
          </w:tcPr>
          <w:p w14:paraId="5F887AF7" w14:textId="7A4F6D72" w:rsidR="00C32F72" w:rsidRPr="009C75E1" w:rsidRDefault="00C32F72" w:rsidP="00F51511">
            <w:pPr>
              <w:keepNext/>
              <w:keepLines/>
              <w:jc w:val="center"/>
              <w:rPr>
                <w:rFonts w:ascii="Arial" w:hAnsi="Arial" w:cs="Arial"/>
                <w:sz w:val="20"/>
                <w:szCs w:val="20"/>
              </w:rPr>
            </w:pPr>
            <w:r>
              <w:rPr>
                <w:rFonts w:ascii="Arial" w:hAnsi="Arial" w:cs="Arial"/>
                <w:sz w:val="20"/>
                <w:szCs w:val="20"/>
              </w:rPr>
              <w:t>6</w:t>
            </w:r>
            <w:r w:rsidR="00F51511">
              <w:rPr>
                <w:rFonts w:ascii="Arial" w:hAnsi="Arial" w:cs="Arial"/>
                <w:sz w:val="20"/>
                <w:szCs w:val="20"/>
              </w:rPr>
              <w:t>5</w:t>
            </w:r>
            <w:r>
              <w:rPr>
                <w:rFonts w:ascii="Arial" w:hAnsi="Arial" w:cs="Arial"/>
                <w:sz w:val="20"/>
                <w:szCs w:val="20"/>
              </w:rPr>
              <w:t>1</w:t>
            </w:r>
          </w:p>
        </w:tc>
      </w:tr>
      <w:tr w:rsidR="00C32F72" w14:paraId="43639968" w14:textId="77777777" w:rsidTr="006855DF">
        <w:trPr>
          <w:jc w:val="center"/>
        </w:trPr>
        <w:tc>
          <w:tcPr>
            <w:tcW w:w="1548" w:type="dxa"/>
            <w:vMerge/>
            <w:shd w:val="clear" w:color="auto" w:fill="auto"/>
            <w:vAlign w:val="center"/>
          </w:tcPr>
          <w:p w14:paraId="3021E4DD" w14:textId="77777777" w:rsidR="00C32F72" w:rsidRPr="009C75E1" w:rsidRDefault="00C32F72" w:rsidP="00C32F72">
            <w:pPr>
              <w:keepNext/>
              <w:keepLines/>
              <w:rPr>
                <w:rFonts w:ascii="Arial" w:hAnsi="Arial" w:cs="Arial"/>
                <w:sz w:val="20"/>
                <w:szCs w:val="20"/>
              </w:rPr>
            </w:pPr>
          </w:p>
        </w:tc>
        <w:tc>
          <w:tcPr>
            <w:tcW w:w="1994" w:type="dxa"/>
            <w:shd w:val="clear" w:color="auto" w:fill="auto"/>
          </w:tcPr>
          <w:p w14:paraId="1F55C0BD" w14:textId="77777777" w:rsidR="00C32F72" w:rsidRPr="009C75E1" w:rsidRDefault="00C32F72" w:rsidP="00C32F72">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tcPr>
          <w:p w14:paraId="37CFCCF5" w14:textId="1A78F114" w:rsidR="00C32F72" w:rsidRPr="009C75E1" w:rsidRDefault="00C32F72" w:rsidP="00C32F72">
            <w:pPr>
              <w:keepNext/>
              <w:keepLines/>
              <w:jc w:val="center"/>
              <w:rPr>
                <w:rFonts w:ascii="Arial" w:hAnsi="Arial" w:cs="Arial"/>
                <w:sz w:val="20"/>
                <w:szCs w:val="20"/>
              </w:rPr>
            </w:pPr>
            <w:r>
              <w:rPr>
                <w:rFonts w:ascii="Arial" w:hAnsi="Arial" w:cs="Arial"/>
                <w:sz w:val="20"/>
                <w:szCs w:val="20"/>
              </w:rPr>
              <w:t>43</w:t>
            </w:r>
          </w:p>
        </w:tc>
        <w:tc>
          <w:tcPr>
            <w:tcW w:w="1772" w:type="dxa"/>
            <w:shd w:val="clear" w:color="auto" w:fill="auto"/>
            <w:vAlign w:val="center"/>
          </w:tcPr>
          <w:p w14:paraId="39F6929E" w14:textId="4A351C39" w:rsidR="00C32F72" w:rsidRPr="009C75E1" w:rsidRDefault="00C32F72" w:rsidP="00C32F72">
            <w:pPr>
              <w:keepNext/>
              <w:keepLines/>
              <w:jc w:val="center"/>
              <w:rPr>
                <w:rFonts w:ascii="Arial" w:hAnsi="Arial" w:cs="Arial"/>
                <w:sz w:val="20"/>
                <w:szCs w:val="20"/>
              </w:rPr>
            </w:pPr>
            <w:r>
              <w:rPr>
                <w:rFonts w:ascii="Arial" w:hAnsi="Arial" w:cs="Arial"/>
                <w:sz w:val="20"/>
                <w:szCs w:val="20"/>
              </w:rPr>
              <w:t>25</w:t>
            </w:r>
          </w:p>
        </w:tc>
      </w:tr>
      <w:tr w:rsidR="00C32F72" w14:paraId="6732B347" w14:textId="77777777" w:rsidTr="006855DF">
        <w:trPr>
          <w:jc w:val="center"/>
        </w:trPr>
        <w:tc>
          <w:tcPr>
            <w:tcW w:w="1548" w:type="dxa"/>
            <w:vMerge w:val="restart"/>
            <w:shd w:val="clear" w:color="auto" w:fill="auto"/>
            <w:vAlign w:val="center"/>
          </w:tcPr>
          <w:p w14:paraId="5F00F4BC" w14:textId="77777777" w:rsidR="00C32F72" w:rsidRPr="009C75E1" w:rsidRDefault="00C32F72" w:rsidP="00C32F72">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42B9B4DA" w14:textId="77777777" w:rsidR="00C32F72" w:rsidRPr="009C75E1" w:rsidRDefault="00C32F72" w:rsidP="00C32F72">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tcPr>
          <w:p w14:paraId="695BDFE4" w14:textId="2CC54D15" w:rsidR="00C32F72" w:rsidRPr="009C75E1" w:rsidRDefault="00C32F72" w:rsidP="00C32F72">
            <w:pPr>
              <w:keepNext/>
              <w:keepLines/>
              <w:jc w:val="center"/>
              <w:rPr>
                <w:rFonts w:ascii="Arial" w:hAnsi="Arial" w:cs="Arial"/>
                <w:sz w:val="20"/>
                <w:szCs w:val="20"/>
              </w:rPr>
            </w:pPr>
            <w:r>
              <w:rPr>
                <w:rFonts w:ascii="Arial" w:hAnsi="Arial" w:cs="Arial"/>
                <w:sz w:val="20"/>
                <w:szCs w:val="20"/>
              </w:rPr>
              <w:t>918</w:t>
            </w:r>
          </w:p>
        </w:tc>
        <w:tc>
          <w:tcPr>
            <w:tcW w:w="1772" w:type="dxa"/>
            <w:shd w:val="clear" w:color="auto" w:fill="auto"/>
            <w:vAlign w:val="center"/>
          </w:tcPr>
          <w:p w14:paraId="04A91FB9" w14:textId="7EAD7F0B" w:rsidR="00C32F72" w:rsidRPr="009C75E1" w:rsidRDefault="00C32F72" w:rsidP="00C32F72">
            <w:pPr>
              <w:keepNext/>
              <w:keepLines/>
              <w:jc w:val="center"/>
              <w:rPr>
                <w:rFonts w:ascii="Arial" w:hAnsi="Arial" w:cs="Arial"/>
                <w:sz w:val="20"/>
                <w:szCs w:val="20"/>
              </w:rPr>
            </w:pPr>
            <w:r>
              <w:rPr>
                <w:rFonts w:ascii="Arial" w:hAnsi="Arial" w:cs="Arial"/>
                <w:sz w:val="20"/>
                <w:szCs w:val="20"/>
              </w:rPr>
              <w:t>769</w:t>
            </w:r>
          </w:p>
        </w:tc>
      </w:tr>
      <w:tr w:rsidR="00C32F72" w14:paraId="0B6BA987" w14:textId="77777777" w:rsidTr="006855DF">
        <w:trPr>
          <w:jc w:val="center"/>
        </w:trPr>
        <w:tc>
          <w:tcPr>
            <w:tcW w:w="1548" w:type="dxa"/>
            <w:vMerge/>
            <w:shd w:val="clear" w:color="auto" w:fill="auto"/>
          </w:tcPr>
          <w:p w14:paraId="1F14980A" w14:textId="77777777" w:rsidR="00C32F72" w:rsidRPr="009C75E1" w:rsidRDefault="00C32F72" w:rsidP="00C32F72">
            <w:pPr>
              <w:keepNext/>
              <w:keepLines/>
              <w:rPr>
                <w:rFonts w:ascii="Arial" w:hAnsi="Arial" w:cs="Arial"/>
                <w:sz w:val="20"/>
                <w:szCs w:val="20"/>
              </w:rPr>
            </w:pPr>
          </w:p>
        </w:tc>
        <w:tc>
          <w:tcPr>
            <w:tcW w:w="1994" w:type="dxa"/>
            <w:shd w:val="clear" w:color="auto" w:fill="auto"/>
          </w:tcPr>
          <w:p w14:paraId="74198B06" w14:textId="77777777" w:rsidR="00C32F72" w:rsidRPr="009C75E1" w:rsidRDefault="00C32F72" w:rsidP="00C32F72">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tcPr>
          <w:p w14:paraId="12F76BC1" w14:textId="282AD6AD" w:rsidR="00C32F72" w:rsidRPr="009C75E1" w:rsidRDefault="00C32F72" w:rsidP="00C32F72">
            <w:pPr>
              <w:keepNext/>
              <w:keepLines/>
              <w:jc w:val="center"/>
              <w:rPr>
                <w:rFonts w:ascii="Arial" w:hAnsi="Arial" w:cs="Arial"/>
                <w:sz w:val="20"/>
                <w:szCs w:val="20"/>
              </w:rPr>
            </w:pPr>
            <w:r>
              <w:rPr>
                <w:rFonts w:ascii="Arial" w:hAnsi="Arial" w:cs="Arial"/>
                <w:sz w:val="20"/>
                <w:szCs w:val="20"/>
              </w:rPr>
              <w:t>46</w:t>
            </w:r>
          </w:p>
        </w:tc>
        <w:tc>
          <w:tcPr>
            <w:tcW w:w="1772" w:type="dxa"/>
            <w:shd w:val="clear" w:color="auto" w:fill="auto"/>
            <w:vAlign w:val="center"/>
          </w:tcPr>
          <w:p w14:paraId="38ED8748" w14:textId="67269C61" w:rsidR="00C32F72" w:rsidRPr="009C75E1" w:rsidRDefault="00C32F72" w:rsidP="00C32F72">
            <w:pPr>
              <w:keepNext/>
              <w:keepLines/>
              <w:jc w:val="center"/>
              <w:rPr>
                <w:rFonts w:ascii="Arial" w:hAnsi="Arial" w:cs="Arial"/>
                <w:sz w:val="20"/>
                <w:szCs w:val="20"/>
              </w:rPr>
            </w:pPr>
            <w:r>
              <w:rPr>
                <w:rFonts w:ascii="Arial" w:hAnsi="Arial" w:cs="Arial"/>
                <w:sz w:val="20"/>
                <w:szCs w:val="20"/>
              </w:rPr>
              <w:t>30</w:t>
            </w:r>
          </w:p>
        </w:tc>
      </w:tr>
      <w:tr w:rsidR="00C32F72" w14:paraId="0FB92710" w14:textId="77777777" w:rsidTr="006855DF">
        <w:trPr>
          <w:jc w:val="center"/>
        </w:trPr>
        <w:tc>
          <w:tcPr>
            <w:tcW w:w="1548" w:type="dxa"/>
            <w:vMerge/>
            <w:shd w:val="clear" w:color="auto" w:fill="auto"/>
          </w:tcPr>
          <w:p w14:paraId="3C5367C0" w14:textId="77777777" w:rsidR="00C32F72" w:rsidRPr="009C75E1" w:rsidRDefault="00C32F72" w:rsidP="00C32F72">
            <w:pPr>
              <w:keepNext/>
              <w:keepLines/>
              <w:rPr>
                <w:rFonts w:ascii="Arial" w:hAnsi="Arial" w:cs="Arial"/>
                <w:sz w:val="20"/>
                <w:szCs w:val="20"/>
              </w:rPr>
            </w:pPr>
          </w:p>
        </w:tc>
        <w:tc>
          <w:tcPr>
            <w:tcW w:w="1994" w:type="dxa"/>
            <w:shd w:val="clear" w:color="auto" w:fill="auto"/>
          </w:tcPr>
          <w:p w14:paraId="66C00411" w14:textId="77777777" w:rsidR="00C32F72" w:rsidRPr="009C75E1" w:rsidRDefault="00C32F72" w:rsidP="00C32F72">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tcPr>
          <w:p w14:paraId="6F68FFC7" w14:textId="0E7A7F98" w:rsidR="00C32F72" w:rsidRPr="009C75E1" w:rsidRDefault="00C32F72" w:rsidP="00C32F72">
            <w:pPr>
              <w:keepNext/>
              <w:keepLines/>
              <w:jc w:val="center"/>
              <w:rPr>
                <w:rFonts w:ascii="Arial" w:hAnsi="Arial" w:cs="Arial"/>
                <w:sz w:val="20"/>
                <w:szCs w:val="20"/>
              </w:rPr>
            </w:pPr>
            <w:r>
              <w:rPr>
                <w:rFonts w:ascii="Arial" w:hAnsi="Arial" w:cs="Arial"/>
                <w:sz w:val="20"/>
                <w:szCs w:val="20"/>
              </w:rPr>
              <w:t>5.0%</w:t>
            </w:r>
          </w:p>
        </w:tc>
        <w:tc>
          <w:tcPr>
            <w:tcW w:w="1772" w:type="dxa"/>
            <w:shd w:val="clear" w:color="auto" w:fill="auto"/>
            <w:vAlign w:val="center"/>
          </w:tcPr>
          <w:p w14:paraId="2A295BF2" w14:textId="6B0B3794" w:rsidR="00C32F72" w:rsidRPr="009C75E1" w:rsidRDefault="00C32F72" w:rsidP="00C32F72">
            <w:pPr>
              <w:keepNext/>
              <w:keepLines/>
              <w:jc w:val="center"/>
              <w:rPr>
                <w:rFonts w:ascii="Arial" w:hAnsi="Arial" w:cs="Arial"/>
                <w:sz w:val="20"/>
                <w:szCs w:val="20"/>
              </w:rPr>
            </w:pPr>
            <w:r>
              <w:rPr>
                <w:rFonts w:ascii="Arial" w:hAnsi="Arial" w:cs="Arial"/>
                <w:sz w:val="20"/>
                <w:szCs w:val="20"/>
              </w:rPr>
              <w:t>3.8%</w:t>
            </w:r>
          </w:p>
        </w:tc>
      </w:tr>
    </w:tbl>
    <w:p w14:paraId="4D1C439D" w14:textId="77777777" w:rsidR="002B724E" w:rsidRDefault="002B724E" w:rsidP="002B724E"/>
    <w:p w14:paraId="2B612B5B" w14:textId="2FB8969C" w:rsidR="002B724E" w:rsidRDefault="002B724E" w:rsidP="002B724E">
      <w:r>
        <w:t xml:space="preserve">Our exploration of the underlying (SAID-level) data found </w:t>
      </w:r>
      <w:r w:rsidR="00C525B4">
        <w:t xml:space="preserve">that the primary source of the difference is a change in load impacts for a handful of service accounts. Specifically, differences between the forecast and estimated load impacts for three service accounts account for the bulk of the difference between last year’s </w:t>
      </w:r>
      <w:r w:rsidR="00933F01" w:rsidRPr="00933F01">
        <w:rPr>
          <w:i/>
        </w:rPr>
        <w:t>ex-ante</w:t>
      </w:r>
      <w:r w:rsidR="00C525B4">
        <w:t xml:space="preserve"> forecast and this year’s </w:t>
      </w:r>
      <w:r w:rsidR="00933F01" w:rsidRPr="00933F01">
        <w:rPr>
          <w:i/>
        </w:rPr>
        <w:t>ex-post</w:t>
      </w:r>
      <w:r w:rsidR="00C525B4">
        <w:t xml:space="preserve"> load impacts. The service account that is the largest contributor </w:t>
      </w:r>
      <w:r w:rsidR="00C525B4">
        <w:lastRenderedPageBreak/>
        <w:t xml:space="preserve">responded to a lower percentage of events during PY2014 than it had in previous years, and the magnitude of its response was somewhat lower even when it did participate in </w:t>
      </w:r>
      <w:r w:rsidR="00F51511">
        <w:t>an</w:t>
      </w:r>
      <w:r w:rsidR="00C525B4">
        <w:t xml:space="preserve"> event. </w:t>
      </w:r>
    </w:p>
    <w:p w14:paraId="49C91215" w14:textId="7C611B7F" w:rsidR="002B724E" w:rsidRDefault="002B724E" w:rsidP="002B724E">
      <w:pPr>
        <w:pStyle w:val="Heading3"/>
      </w:pPr>
      <w:bookmarkStart w:id="299" w:name="_Toc383597955"/>
      <w:bookmarkStart w:id="300" w:name="_Toc415761850"/>
      <w:r>
        <w:t xml:space="preserve">6.1.4 Current </w:t>
      </w:r>
      <w:r w:rsidR="00933F01" w:rsidRPr="00933F01">
        <w:rPr>
          <w:i/>
        </w:rPr>
        <w:t>ex-post</w:t>
      </w:r>
      <w:r>
        <w:t xml:space="preserve"> versus current </w:t>
      </w:r>
      <w:r w:rsidR="00933F01" w:rsidRPr="00933F01">
        <w:rPr>
          <w:i/>
        </w:rPr>
        <w:t>ex-ante</w:t>
      </w:r>
      <w:bookmarkEnd w:id="299"/>
      <w:bookmarkEnd w:id="300"/>
    </w:p>
    <w:p w14:paraId="3C1C3410" w14:textId="191D547E" w:rsidR="00F958C0" w:rsidRDefault="00F51511" w:rsidP="002B724E">
      <w:r>
        <w:t xml:space="preserve">Table 6.4 compares the PY2014 </w:t>
      </w:r>
      <w:r w:rsidR="00933F01" w:rsidRPr="00933F01">
        <w:rPr>
          <w:i/>
        </w:rPr>
        <w:t>ex-post</w:t>
      </w:r>
      <w:r>
        <w:t xml:space="preserve"> load impacts (based on the average event day using the nine events during which all customers were called) and the 2015 forecast of typical event day load impacts in a utility-specific 1-in-2 weather year. </w:t>
      </w:r>
    </w:p>
    <w:p w14:paraId="645D7EEE" w14:textId="77777777" w:rsidR="00F51511" w:rsidRDefault="00F51511" w:rsidP="002B724E"/>
    <w:p w14:paraId="71DB5B75" w14:textId="13B9F229" w:rsidR="00F51511" w:rsidRDefault="009A6D5E" w:rsidP="002B724E">
      <w:r>
        <w:t xml:space="preserve">The customers that left DBP were smaller than average (approximately 345 kW per customer, compared to 769 kW for the program as a whole) and provided no load impacts during PY2014 event days. Therefore, the effect of their departure is to increase per-customer reference loads and load impacts. The increase in program-level load impacts from 25 to 33 MW is largely due to differences in </w:t>
      </w:r>
      <w:r w:rsidR="00933F01" w:rsidRPr="00933F01">
        <w:rPr>
          <w:i/>
        </w:rPr>
        <w:t>ex-post</w:t>
      </w:r>
      <w:r>
        <w:t xml:space="preserve"> and </w:t>
      </w:r>
      <w:r w:rsidR="00933F01" w:rsidRPr="00933F01">
        <w:rPr>
          <w:i/>
        </w:rPr>
        <w:t>ex-ante</w:t>
      </w:r>
      <w:r>
        <w:t xml:space="preserve"> load impacts for a small number of customers, as described below.</w:t>
      </w:r>
    </w:p>
    <w:p w14:paraId="158E9B6B" w14:textId="77777777" w:rsidR="00F51511" w:rsidRDefault="00F51511" w:rsidP="00F51511"/>
    <w:p w14:paraId="1AED05CE" w14:textId="11C8EFE0" w:rsidR="00F51511" w:rsidRPr="00376F46" w:rsidRDefault="00F51511" w:rsidP="00F51511">
      <w:pPr>
        <w:pStyle w:val="TableCaption"/>
        <w:keepNext/>
        <w:keepLines/>
      </w:pPr>
      <w:bookmarkStart w:id="301" w:name="_Toc415761897"/>
      <w:r w:rsidRPr="00376F46">
        <w:t xml:space="preserve">Table </w:t>
      </w:r>
      <w:r>
        <w:t>6</w:t>
      </w:r>
      <w:r w:rsidRPr="00376F46">
        <w:t>.</w:t>
      </w:r>
      <w:r>
        <w:t>4</w:t>
      </w:r>
      <w:r w:rsidRPr="00376F46">
        <w:t xml:space="preserve"> Comparison of </w:t>
      </w:r>
      <w:r>
        <w:t xml:space="preserve">Current </w:t>
      </w:r>
      <w:r w:rsidR="00933F01" w:rsidRPr="00933F01">
        <w:rPr>
          <w:i/>
        </w:rPr>
        <w:t>Ex-post</w:t>
      </w:r>
      <w:r>
        <w:t xml:space="preserve"> and </w:t>
      </w:r>
      <w:r w:rsidR="00933F01" w:rsidRPr="00933F01">
        <w:rPr>
          <w:i/>
        </w:rPr>
        <w:t>Ex-ante</w:t>
      </w:r>
      <w:r>
        <w:t xml:space="preserve"> Load </w:t>
      </w:r>
      <w:r w:rsidRPr="00376F46">
        <w:t>Impacts</w:t>
      </w:r>
      <w:r>
        <w:t>,</w:t>
      </w:r>
      <w:r w:rsidRPr="00376F46">
        <w:t xml:space="preserve"> </w:t>
      </w:r>
      <w:r>
        <w:rPr>
          <w:i/>
        </w:rPr>
        <w:t>PG&amp;E</w:t>
      </w:r>
      <w:bookmarkEnd w:id="30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F51511" w14:paraId="70DAA1DC" w14:textId="77777777" w:rsidTr="00F51511">
        <w:trPr>
          <w:jc w:val="center"/>
        </w:trPr>
        <w:tc>
          <w:tcPr>
            <w:tcW w:w="1548" w:type="dxa"/>
            <w:shd w:val="clear" w:color="auto" w:fill="D9E2F3"/>
            <w:vAlign w:val="center"/>
          </w:tcPr>
          <w:p w14:paraId="12047094" w14:textId="77777777" w:rsidR="00F51511" w:rsidRPr="009C75E1" w:rsidRDefault="00F51511" w:rsidP="00F51511">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4F5F8ED8" w14:textId="77777777" w:rsidR="00F51511" w:rsidRPr="009C75E1" w:rsidRDefault="00F51511" w:rsidP="00F51511">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41137B53" w14:textId="32C15672" w:rsidR="00F51511" w:rsidRPr="009C75E1" w:rsidRDefault="00933F01" w:rsidP="00F51511">
            <w:pPr>
              <w:keepNext/>
              <w:keepLines/>
              <w:jc w:val="center"/>
              <w:rPr>
                <w:rFonts w:ascii="Arial" w:hAnsi="Arial" w:cs="Arial"/>
                <w:b/>
                <w:sz w:val="20"/>
                <w:szCs w:val="20"/>
              </w:rPr>
            </w:pPr>
            <w:r w:rsidRPr="00933F01">
              <w:rPr>
                <w:rFonts w:ascii="Arial" w:hAnsi="Arial" w:cs="Arial"/>
                <w:b/>
                <w:i/>
                <w:sz w:val="20"/>
                <w:szCs w:val="20"/>
              </w:rPr>
              <w:t>Ex-post</w:t>
            </w:r>
            <w:r w:rsidR="00F51511">
              <w:rPr>
                <w:rFonts w:ascii="Arial" w:hAnsi="Arial" w:cs="Arial"/>
                <w:b/>
                <w:sz w:val="20"/>
                <w:szCs w:val="20"/>
              </w:rPr>
              <w:t xml:space="preserve"> Average Event Day, PY2014</w:t>
            </w:r>
          </w:p>
        </w:tc>
        <w:tc>
          <w:tcPr>
            <w:tcW w:w="1772" w:type="dxa"/>
            <w:shd w:val="clear" w:color="auto" w:fill="D9E2F3"/>
            <w:vAlign w:val="center"/>
          </w:tcPr>
          <w:p w14:paraId="236EE883" w14:textId="550BCE81" w:rsidR="00F51511" w:rsidRPr="009C75E1" w:rsidRDefault="00933F01" w:rsidP="00F51511">
            <w:pPr>
              <w:keepNext/>
              <w:keepLines/>
              <w:jc w:val="center"/>
              <w:rPr>
                <w:rFonts w:ascii="Arial" w:hAnsi="Arial" w:cs="Arial"/>
                <w:b/>
                <w:sz w:val="20"/>
                <w:szCs w:val="20"/>
              </w:rPr>
            </w:pPr>
            <w:r w:rsidRPr="00933F01">
              <w:rPr>
                <w:rFonts w:ascii="Arial" w:hAnsi="Arial" w:cs="Arial"/>
                <w:b/>
                <w:i/>
                <w:sz w:val="20"/>
                <w:szCs w:val="20"/>
              </w:rPr>
              <w:t>Ex-ante</w:t>
            </w:r>
            <w:r w:rsidR="00F51511">
              <w:rPr>
                <w:rFonts w:ascii="Arial" w:hAnsi="Arial" w:cs="Arial"/>
                <w:b/>
                <w:sz w:val="20"/>
                <w:szCs w:val="20"/>
              </w:rPr>
              <w:t xml:space="preserve"> Typical Event Day, </w:t>
            </w:r>
            <w:r w:rsidR="00F51511" w:rsidRPr="009C75E1">
              <w:rPr>
                <w:rFonts w:ascii="Arial" w:hAnsi="Arial" w:cs="Arial"/>
                <w:b/>
                <w:sz w:val="20"/>
                <w:szCs w:val="20"/>
              </w:rPr>
              <w:t>201</w:t>
            </w:r>
            <w:r w:rsidR="00F51511">
              <w:rPr>
                <w:rFonts w:ascii="Arial" w:hAnsi="Arial" w:cs="Arial"/>
                <w:b/>
                <w:sz w:val="20"/>
                <w:szCs w:val="20"/>
              </w:rPr>
              <w:t>5</w:t>
            </w:r>
          </w:p>
        </w:tc>
      </w:tr>
      <w:tr w:rsidR="00F51511" w14:paraId="15D4F3E8" w14:textId="77777777" w:rsidTr="00F51511">
        <w:trPr>
          <w:jc w:val="center"/>
        </w:trPr>
        <w:tc>
          <w:tcPr>
            <w:tcW w:w="1548" w:type="dxa"/>
            <w:vMerge w:val="restart"/>
            <w:shd w:val="clear" w:color="auto" w:fill="auto"/>
            <w:vAlign w:val="center"/>
          </w:tcPr>
          <w:p w14:paraId="0E805E93" w14:textId="77777777" w:rsidR="00F51511" w:rsidRPr="009C75E1" w:rsidRDefault="00F51511" w:rsidP="00F51511">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6DB8E55F" w14:textId="77777777" w:rsidR="00F51511" w:rsidRPr="009C75E1" w:rsidRDefault="00F51511" w:rsidP="00F51511">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vAlign w:val="center"/>
          </w:tcPr>
          <w:p w14:paraId="694461A6" w14:textId="5B0AB479" w:rsidR="00F51511" w:rsidRPr="009C75E1" w:rsidRDefault="00F51511" w:rsidP="00F51511">
            <w:pPr>
              <w:keepNext/>
              <w:keepLines/>
              <w:jc w:val="center"/>
              <w:rPr>
                <w:rFonts w:ascii="Arial" w:hAnsi="Arial" w:cs="Arial"/>
                <w:sz w:val="20"/>
                <w:szCs w:val="20"/>
              </w:rPr>
            </w:pPr>
            <w:r>
              <w:rPr>
                <w:rFonts w:ascii="Arial" w:hAnsi="Arial" w:cs="Arial"/>
                <w:sz w:val="20"/>
                <w:szCs w:val="20"/>
              </w:rPr>
              <w:t>846</w:t>
            </w:r>
          </w:p>
        </w:tc>
        <w:tc>
          <w:tcPr>
            <w:tcW w:w="1772" w:type="dxa"/>
            <w:shd w:val="clear" w:color="auto" w:fill="auto"/>
          </w:tcPr>
          <w:p w14:paraId="7F630C1F" w14:textId="0E607D9C" w:rsidR="00F51511" w:rsidRPr="009C75E1" w:rsidRDefault="00F51511" w:rsidP="00F51511">
            <w:pPr>
              <w:keepNext/>
              <w:keepLines/>
              <w:jc w:val="center"/>
              <w:rPr>
                <w:rFonts w:ascii="Arial" w:hAnsi="Arial" w:cs="Arial"/>
                <w:sz w:val="20"/>
                <w:szCs w:val="20"/>
              </w:rPr>
            </w:pPr>
            <w:r>
              <w:rPr>
                <w:rFonts w:ascii="Arial" w:hAnsi="Arial" w:cs="Arial"/>
                <w:sz w:val="20"/>
                <w:szCs w:val="20"/>
              </w:rPr>
              <w:t>784</w:t>
            </w:r>
          </w:p>
        </w:tc>
      </w:tr>
      <w:tr w:rsidR="00F51511" w14:paraId="137814D9" w14:textId="77777777" w:rsidTr="00F51511">
        <w:trPr>
          <w:trHeight w:val="242"/>
          <w:jc w:val="center"/>
        </w:trPr>
        <w:tc>
          <w:tcPr>
            <w:tcW w:w="1548" w:type="dxa"/>
            <w:vMerge/>
            <w:shd w:val="clear" w:color="auto" w:fill="auto"/>
            <w:vAlign w:val="center"/>
          </w:tcPr>
          <w:p w14:paraId="259DBB76" w14:textId="77777777" w:rsidR="00F51511" w:rsidRPr="009C75E1" w:rsidRDefault="00F51511" w:rsidP="00F51511">
            <w:pPr>
              <w:keepNext/>
              <w:keepLines/>
              <w:rPr>
                <w:rFonts w:ascii="Arial" w:hAnsi="Arial" w:cs="Arial"/>
                <w:sz w:val="20"/>
                <w:szCs w:val="20"/>
              </w:rPr>
            </w:pPr>
          </w:p>
        </w:tc>
        <w:tc>
          <w:tcPr>
            <w:tcW w:w="1994" w:type="dxa"/>
            <w:shd w:val="clear" w:color="auto" w:fill="auto"/>
          </w:tcPr>
          <w:p w14:paraId="2F2D6FD7" w14:textId="77777777" w:rsidR="00F51511" w:rsidRPr="009C75E1" w:rsidRDefault="00F51511" w:rsidP="00F51511">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vAlign w:val="center"/>
          </w:tcPr>
          <w:p w14:paraId="7D285A00" w14:textId="44BA6ABC" w:rsidR="00F51511" w:rsidRPr="009C75E1" w:rsidRDefault="00F51511" w:rsidP="00F51511">
            <w:pPr>
              <w:keepNext/>
              <w:keepLines/>
              <w:jc w:val="center"/>
              <w:rPr>
                <w:rFonts w:ascii="Arial" w:hAnsi="Arial" w:cs="Arial"/>
                <w:sz w:val="20"/>
                <w:szCs w:val="20"/>
              </w:rPr>
            </w:pPr>
            <w:r>
              <w:rPr>
                <w:rFonts w:ascii="Arial" w:hAnsi="Arial" w:cs="Arial"/>
                <w:sz w:val="20"/>
                <w:szCs w:val="20"/>
              </w:rPr>
              <w:t>651</w:t>
            </w:r>
          </w:p>
        </w:tc>
        <w:tc>
          <w:tcPr>
            <w:tcW w:w="1772" w:type="dxa"/>
            <w:shd w:val="clear" w:color="auto" w:fill="auto"/>
          </w:tcPr>
          <w:p w14:paraId="1011BC79" w14:textId="26BF7D73" w:rsidR="00F51511" w:rsidRPr="009C75E1" w:rsidRDefault="00F51511" w:rsidP="00F51511">
            <w:pPr>
              <w:keepNext/>
              <w:keepLines/>
              <w:jc w:val="center"/>
              <w:rPr>
                <w:rFonts w:ascii="Arial" w:hAnsi="Arial" w:cs="Arial"/>
                <w:sz w:val="20"/>
                <w:szCs w:val="20"/>
              </w:rPr>
            </w:pPr>
            <w:r>
              <w:rPr>
                <w:rFonts w:ascii="Arial" w:hAnsi="Arial" w:cs="Arial"/>
                <w:sz w:val="20"/>
                <w:szCs w:val="20"/>
              </w:rPr>
              <w:t>664</w:t>
            </w:r>
          </w:p>
        </w:tc>
      </w:tr>
      <w:tr w:rsidR="00F51511" w14:paraId="032FC0A3" w14:textId="77777777" w:rsidTr="00F51511">
        <w:trPr>
          <w:jc w:val="center"/>
        </w:trPr>
        <w:tc>
          <w:tcPr>
            <w:tcW w:w="1548" w:type="dxa"/>
            <w:vMerge/>
            <w:shd w:val="clear" w:color="auto" w:fill="auto"/>
            <w:vAlign w:val="center"/>
          </w:tcPr>
          <w:p w14:paraId="00C486BA" w14:textId="77777777" w:rsidR="00F51511" w:rsidRPr="009C75E1" w:rsidRDefault="00F51511" w:rsidP="00F51511">
            <w:pPr>
              <w:keepNext/>
              <w:keepLines/>
              <w:rPr>
                <w:rFonts w:ascii="Arial" w:hAnsi="Arial" w:cs="Arial"/>
                <w:sz w:val="20"/>
                <w:szCs w:val="20"/>
              </w:rPr>
            </w:pPr>
          </w:p>
        </w:tc>
        <w:tc>
          <w:tcPr>
            <w:tcW w:w="1994" w:type="dxa"/>
            <w:shd w:val="clear" w:color="auto" w:fill="auto"/>
          </w:tcPr>
          <w:p w14:paraId="0E714266" w14:textId="77777777" w:rsidR="00F51511" w:rsidRPr="009C75E1" w:rsidRDefault="00F51511" w:rsidP="00F51511">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vAlign w:val="center"/>
          </w:tcPr>
          <w:p w14:paraId="2A0CF8B5" w14:textId="3E9D93E6" w:rsidR="00F51511" w:rsidRPr="009C75E1" w:rsidRDefault="00F51511" w:rsidP="00F51511">
            <w:pPr>
              <w:keepNext/>
              <w:keepLines/>
              <w:jc w:val="center"/>
              <w:rPr>
                <w:rFonts w:ascii="Arial" w:hAnsi="Arial" w:cs="Arial"/>
                <w:sz w:val="20"/>
                <w:szCs w:val="20"/>
              </w:rPr>
            </w:pPr>
            <w:r>
              <w:rPr>
                <w:rFonts w:ascii="Arial" w:hAnsi="Arial" w:cs="Arial"/>
                <w:sz w:val="20"/>
                <w:szCs w:val="20"/>
              </w:rPr>
              <w:t>25</w:t>
            </w:r>
          </w:p>
        </w:tc>
        <w:tc>
          <w:tcPr>
            <w:tcW w:w="1772" w:type="dxa"/>
            <w:shd w:val="clear" w:color="auto" w:fill="auto"/>
          </w:tcPr>
          <w:p w14:paraId="4EADF8D4" w14:textId="1B3C6BF6" w:rsidR="00F51511" w:rsidRPr="009C75E1" w:rsidRDefault="00F51511" w:rsidP="00F51511">
            <w:pPr>
              <w:keepNext/>
              <w:keepLines/>
              <w:jc w:val="center"/>
              <w:rPr>
                <w:rFonts w:ascii="Arial" w:hAnsi="Arial" w:cs="Arial"/>
                <w:sz w:val="20"/>
                <w:szCs w:val="20"/>
              </w:rPr>
            </w:pPr>
            <w:r>
              <w:rPr>
                <w:rFonts w:ascii="Arial" w:hAnsi="Arial" w:cs="Arial"/>
                <w:sz w:val="20"/>
                <w:szCs w:val="20"/>
              </w:rPr>
              <w:t>33</w:t>
            </w:r>
          </w:p>
        </w:tc>
      </w:tr>
      <w:tr w:rsidR="00F51511" w14:paraId="61EF9DA9" w14:textId="77777777" w:rsidTr="00F51511">
        <w:trPr>
          <w:jc w:val="center"/>
        </w:trPr>
        <w:tc>
          <w:tcPr>
            <w:tcW w:w="1548" w:type="dxa"/>
            <w:vMerge w:val="restart"/>
            <w:shd w:val="clear" w:color="auto" w:fill="auto"/>
            <w:vAlign w:val="center"/>
          </w:tcPr>
          <w:p w14:paraId="59FDE051" w14:textId="77777777" w:rsidR="00F51511" w:rsidRPr="009C75E1" w:rsidRDefault="00F51511" w:rsidP="00F51511">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7B93589E" w14:textId="77777777" w:rsidR="00F51511" w:rsidRPr="009C75E1" w:rsidRDefault="00F51511" w:rsidP="00F51511">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vAlign w:val="center"/>
          </w:tcPr>
          <w:p w14:paraId="5EBBAA65" w14:textId="3E3FC415" w:rsidR="00F51511" w:rsidRPr="009C75E1" w:rsidRDefault="00F51511" w:rsidP="00F51511">
            <w:pPr>
              <w:keepNext/>
              <w:keepLines/>
              <w:jc w:val="center"/>
              <w:rPr>
                <w:rFonts w:ascii="Arial" w:hAnsi="Arial" w:cs="Arial"/>
                <w:sz w:val="20"/>
                <w:szCs w:val="20"/>
              </w:rPr>
            </w:pPr>
            <w:r>
              <w:rPr>
                <w:rFonts w:ascii="Arial" w:hAnsi="Arial" w:cs="Arial"/>
                <w:sz w:val="20"/>
                <w:szCs w:val="20"/>
              </w:rPr>
              <w:t>769</w:t>
            </w:r>
          </w:p>
        </w:tc>
        <w:tc>
          <w:tcPr>
            <w:tcW w:w="1772" w:type="dxa"/>
            <w:shd w:val="clear" w:color="auto" w:fill="auto"/>
          </w:tcPr>
          <w:p w14:paraId="6084CE6A" w14:textId="78068545" w:rsidR="00F51511" w:rsidRPr="009C75E1" w:rsidRDefault="00F51511" w:rsidP="00F51511">
            <w:pPr>
              <w:keepNext/>
              <w:keepLines/>
              <w:jc w:val="center"/>
              <w:rPr>
                <w:rFonts w:ascii="Arial" w:hAnsi="Arial" w:cs="Arial"/>
                <w:sz w:val="20"/>
                <w:szCs w:val="20"/>
              </w:rPr>
            </w:pPr>
            <w:r>
              <w:rPr>
                <w:rFonts w:ascii="Arial" w:hAnsi="Arial" w:cs="Arial"/>
                <w:sz w:val="20"/>
                <w:szCs w:val="20"/>
              </w:rPr>
              <w:t>847</w:t>
            </w:r>
          </w:p>
        </w:tc>
      </w:tr>
      <w:tr w:rsidR="00F51511" w14:paraId="3D6F4446" w14:textId="77777777" w:rsidTr="00F51511">
        <w:trPr>
          <w:jc w:val="center"/>
        </w:trPr>
        <w:tc>
          <w:tcPr>
            <w:tcW w:w="1548" w:type="dxa"/>
            <w:vMerge/>
            <w:shd w:val="clear" w:color="auto" w:fill="auto"/>
          </w:tcPr>
          <w:p w14:paraId="40803E7A" w14:textId="77777777" w:rsidR="00F51511" w:rsidRPr="009C75E1" w:rsidRDefault="00F51511" w:rsidP="00F51511">
            <w:pPr>
              <w:keepNext/>
              <w:keepLines/>
              <w:rPr>
                <w:rFonts w:ascii="Arial" w:hAnsi="Arial" w:cs="Arial"/>
                <w:sz w:val="20"/>
                <w:szCs w:val="20"/>
              </w:rPr>
            </w:pPr>
          </w:p>
        </w:tc>
        <w:tc>
          <w:tcPr>
            <w:tcW w:w="1994" w:type="dxa"/>
            <w:shd w:val="clear" w:color="auto" w:fill="auto"/>
          </w:tcPr>
          <w:p w14:paraId="12E99F3F" w14:textId="77777777" w:rsidR="00F51511" w:rsidRPr="009C75E1" w:rsidRDefault="00F51511" w:rsidP="00F51511">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vAlign w:val="center"/>
          </w:tcPr>
          <w:p w14:paraId="278EEDF5" w14:textId="2F523831" w:rsidR="00F51511" w:rsidRPr="009C75E1" w:rsidRDefault="00F51511" w:rsidP="00F51511">
            <w:pPr>
              <w:keepNext/>
              <w:keepLines/>
              <w:jc w:val="center"/>
              <w:rPr>
                <w:rFonts w:ascii="Arial" w:hAnsi="Arial" w:cs="Arial"/>
                <w:sz w:val="20"/>
                <w:szCs w:val="20"/>
              </w:rPr>
            </w:pPr>
            <w:r>
              <w:rPr>
                <w:rFonts w:ascii="Arial" w:hAnsi="Arial" w:cs="Arial"/>
                <w:sz w:val="20"/>
                <w:szCs w:val="20"/>
              </w:rPr>
              <w:t>30</w:t>
            </w:r>
          </w:p>
        </w:tc>
        <w:tc>
          <w:tcPr>
            <w:tcW w:w="1772" w:type="dxa"/>
            <w:shd w:val="clear" w:color="auto" w:fill="auto"/>
          </w:tcPr>
          <w:p w14:paraId="314BA114" w14:textId="2D339E28" w:rsidR="00F51511" w:rsidRPr="009C75E1" w:rsidRDefault="00F51511" w:rsidP="00F51511">
            <w:pPr>
              <w:keepNext/>
              <w:keepLines/>
              <w:jc w:val="center"/>
              <w:rPr>
                <w:rFonts w:ascii="Arial" w:hAnsi="Arial" w:cs="Arial"/>
                <w:sz w:val="20"/>
                <w:szCs w:val="20"/>
              </w:rPr>
            </w:pPr>
            <w:r>
              <w:rPr>
                <w:rFonts w:ascii="Arial" w:hAnsi="Arial" w:cs="Arial"/>
                <w:sz w:val="20"/>
                <w:szCs w:val="20"/>
              </w:rPr>
              <w:t>41</w:t>
            </w:r>
          </w:p>
        </w:tc>
      </w:tr>
      <w:tr w:rsidR="00F51511" w14:paraId="0138B62A" w14:textId="77777777" w:rsidTr="00F51511">
        <w:trPr>
          <w:jc w:val="center"/>
        </w:trPr>
        <w:tc>
          <w:tcPr>
            <w:tcW w:w="1548" w:type="dxa"/>
            <w:vMerge/>
            <w:shd w:val="clear" w:color="auto" w:fill="auto"/>
          </w:tcPr>
          <w:p w14:paraId="709AFA42" w14:textId="77777777" w:rsidR="00F51511" w:rsidRPr="009C75E1" w:rsidRDefault="00F51511" w:rsidP="00F51511">
            <w:pPr>
              <w:keepNext/>
              <w:keepLines/>
              <w:rPr>
                <w:rFonts w:ascii="Arial" w:hAnsi="Arial" w:cs="Arial"/>
                <w:sz w:val="20"/>
                <w:szCs w:val="20"/>
              </w:rPr>
            </w:pPr>
          </w:p>
        </w:tc>
        <w:tc>
          <w:tcPr>
            <w:tcW w:w="1994" w:type="dxa"/>
            <w:shd w:val="clear" w:color="auto" w:fill="auto"/>
          </w:tcPr>
          <w:p w14:paraId="047FA519" w14:textId="77777777" w:rsidR="00F51511" w:rsidRPr="009C75E1" w:rsidRDefault="00F51511" w:rsidP="00F51511">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vAlign w:val="center"/>
          </w:tcPr>
          <w:p w14:paraId="2FED71F2" w14:textId="00426C1F" w:rsidR="00F51511" w:rsidRPr="009C75E1" w:rsidRDefault="00F51511" w:rsidP="00F51511">
            <w:pPr>
              <w:keepNext/>
              <w:keepLines/>
              <w:jc w:val="center"/>
              <w:rPr>
                <w:rFonts w:ascii="Arial" w:hAnsi="Arial" w:cs="Arial"/>
                <w:sz w:val="20"/>
                <w:szCs w:val="20"/>
              </w:rPr>
            </w:pPr>
            <w:r>
              <w:rPr>
                <w:rFonts w:ascii="Arial" w:hAnsi="Arial" w:cs="Arial"/>
                <w:sz w:val="20"/>
                <w:szCs w:val="20"/>
              </w:rPr>
              <w:t>3.8%</w:t>
            </w:r>
          </w:p>
        </w:tc>
        <w:tc>
          <w:tcPr>
            <w:tcW w:w="1772" w:type="dxa"/>
            <w:shd w:val="clear" w:color="auto" w:fill="auto"/>
          </w:tcPr>
          <w:p w14:paraId="43391DCA" w14:textId="30472233" w:rsidR="00F51511" w:rsidRPr="009C75E1" w:rsidRDefault="00F51511" w:rsidP="00F51511">
            <w:pPr>
              <w:keepNext/>
              <w:keepLines/>
              <w:jc w:val="center"/>
              <w:rPr>
                <w:rFonts w:ascii="Arial" w:hAnsi="Arial" w:cs="Arial"/>
                <w:sz w:val="20"/>
                <w:szCs w:val="20"/>
              </w:rPr>
            </w:pPr>
            <w:r>
              <w:rPr>
                <w:rFonts w:ascii="Arial" w:hAnsi="Arial" w:cs="Arial"/>
                <w:sz w:val="20"/>
                <w:szCs w:val="20"/>
              </w:rPr>
              <w:t>4.9%</w:t>
            </w:r>
          </w:p>
        </w:tc>
      </w:tr>
    </w:tbl>
    <w:p w14:paraId="77B10C52" w14:textId="77777777" w:rsidR="00F51511" w:rsidRDefault="00F51511" w:rsidP="00F51511"/>
    <w:p w14:paraId="096A3109" w14:textId="30A91F07" w:rsidR="002B724E" w:rsidRDefault="009A6D5E" w:rsidP="00ED3D27">
      <w:r>
        <w:t xml:space="preserve">Table 6.5 reviews the potential </w:t>
      </w:r>
      <w:r w:rsidR="002B724E">
        <w:t>sources of differences between PY 201</w:t>
      </w:r>
      <w:r>
        <w:t>4</w:t>
      </w:r>
      <w:r w:rsidR="002B724E">
        <w:t xml:space="preserve"> </w:t>
      </w:r>
      <w:r w:rsidR="00933F01" w:rsidRPr="00933F01">
        <w:rPr>
          <w:i/>
        </w:rPr>
        <w:t>ex-post</w:t>
      </w:r>
      <w:r w:rsidR="002B724E">
        <w:t xml:space="preserve"> </w:t>
      </w:r>
      <w:r>
        <w:t xml:space="preserve">average event day </w:t>
      </w:r>
      <w:r w:rsidR="002B724E">
        <w:t xml:space="preserve">and </w:t>
      </w:r>
      <w:r w:rsidR="00933F01" w:rsidRPr="00933F01">
        <w:rPr>
          <w:i/>
        </w:rPr>
        <w:t>ex-ante</w:t>
      </w:r>
      <w:r w:rsidR="002B724E">
        <w:t xml:space="preserve"> load impacts for the 201</w:t>
      </w:r>
      <w:r>
        <w:t xml:space="preserve">5 utility-specific </w:t>
      </w:r>
      <w:r w:rsidR="002B724E">
        <w:t>1-in-2</w:t>
      </w:r>
      <w:r>
        <w:t xml:space="preserve"> typical event day</w:t>
      </w:r>
      <w:r w:rsidR="002B724E">
        <w:t xml:space="preserve">. </w:t>
      </w:r>
      <w:r>
        <w:t xml:space="preserve">As the table describes, the primary driver of differences in program-level load impacts is the use of three years of </w:t>
      </w:r>
      <w:r w:rsidR="00933F01" w:rsidRPr="00933F01">
        <w:rPr>
          <w:i/>
        </w:rPr>
        <w:t>ex-post</w:t>
      </w:r>
      <w:r>
        <w:t xml:space="preserve"> load impacts when developing the </w:t>
      </w:r>
      <w:r w:rsidR="00933F01" w:rsidRPr="00933F01">
        <w:rPr>
          <w:i/>
        </w:rPr>
        <w:t>ex-ante</w:t>
      </w:r>
      <w:r>
        <w:t xml:space="preserve"> forecast.</w:t>
      </w:r>
    </w:p>
    <w:p w14:paraId="49E7D480" w14:textId="77777777" w:rsidR="002B724E" w:rsidRDefault="002B724E" w:rsidP="002B724E"/>
    <w:p w14:paraId="6E4230C1" w14:textId="7C068379" w:rsidR="00F72EA7" w:rsidRDefault="00F72EA7" w:rsidP="002B724E">
      <w:r>
        <w:t xml:space="preserve">That is, we use each customer’s performance during every event from PY2012 through PY2014 as the basis for our </w:t>
      </w:r>
      <w:r w:rsidR="00933F01" w:rsidRPr="00933F01">
        <w:rPr>
          <w:i/>
        </w:rPr>
        <w:t>ex-ante</w:t>
      </w:r>
      <w:r>
        <w:t xml:space="preserve"> load impacts. In some cases, performance changes across years. One large and responsive service account contributes nearly 40 percent of the difference in </w:t>
      </w:r>
      <w:r w:rsidR="00933F01" w:rsidRPr="00933F01">
        <w:rPr>
          <w:i/>
        </w:rPr>
        <w:t>ex-post</w:t>
      </w:r>
      <w:r>
        <w:t xml:space="preserve"> and </w:t>
      </w:r>
      <w:r w:rsidR="00933F01" w:rsidRPr="00933F01">
        <w:rPr>
          <w:i/>
        </w:rPr>
        <w:t>ex-ante</w:t>
      </w:r>
      <w:r>
        <w:t xml:space="preserve"> load impacts. During the six events of PY2012 and PY2013 we included in the </w:t>
      </w:r>
      <w:r w:rsidR="00933F01" w:rsidRPr="00933F01">
        <w:rPr>
          <w:i/>
        </w:rPr>
        <w:t>ex-ante</w:t>
      </w:r>
      <w:r>
        <w:t xml:space="preserve"> study, this customer reduced its load by 100 percent from a reference load that averaged 15.7 MW. During the nine PY2014 events we include in the </w:t>
      </w:r>
      <w:r w:rsidR="00933F01" w:rsidRPr="00933F01">
        <w:rPr>
          <w:i/>
        </w:rPr>
        <w:t>ex-ante</w:t>
      </w:r>
      <w:r>
        <w:t xml:space="preserve"> forecast, this same customer averaged a 67 percent load impact. </w:t>
      </w:r>
      <w:r w:rsidR="00707DC5">
        <w:t xml:space="preserve">When this lower PY2014 performance is averaged together with the higher performance from PY2012 and PY2013, the customer’s average percentage load impact is 80 percent. </w:t>
      </w:r>
    </w:p>
    <w:p w14:paraId="111D4E6B" w14:textId="77777777" w:rsidR="00707DC5" w:rsidRDefault="00707DC5" w:rsidP="002B724E"/>
    <w:p w14:paraId="4F9B86D8" w14:textId="7E3A0E8E" w:rsidR="00707DC5" w:rsidRDefault="00707DC5" w:rsidP="002B724E">
      <w:r>
        <w:t xml:space="preserve">This difference in percentage load impacts, combined with a difference in the customer’s simulated reference load compared to its </w:t>
      </w:r>
      <w:r w:rsidR="00933F01" w:rsidRPr="00933F01">
        <w:rPr>
          <w:i/>
        </w:rPr>
        <w:t>ex-post</w:t>
      </w:r>
      <w:r>
        <w:t xml:space="preserve"> reference load (which is </w:t>
      </w:r>
      <w:r>
        <w:lastRenderedPageBreak/>
        <w:t xml:space="preserve">due to seemingly random variations in its load level across days), means that this customer’s </w:t>
      </w:r>
      <w:r w:rsidR="00933F01" w:rsidRPr="00933F01">
        <w:rPr>
          <w:i/>
        </w:rPr>
        <w:t>ex-ante</w:t>
      </w:r>
      <w:r>
        <w:t xml:space="preserve"> load impact is 3 MW higher than its </w:t>
      </w:r>
      <w:r w:rsidR="00933F01" w:rsidRPr="00933F01">
        <w:rPr>
          <w:i/>
        </w:rPr>
        <w:t>ex-post</w:t>
      </w:r>
      <w:r>
        <w:t xml:space="preserve"> load impact.</w:t>
      </w:r>
    </w:p>
    <w:p w14:paraId="73DF3D0B" w14:textId="77777777" w:rsidR="00707DC5" w:rsidRDefault="00707DC5" w:rsidP="002B724E"/>
    <w:p w14:paraId="5DD00F1C" w14:textId="7813B48B" w:rsidR="002B724E" w:rsidRPr="008E5D4C" w:rsidRDefault="002B724E" w:rsidP="002B724E">
      <w:pPr>
        <w:pStyle w:val="TableCaption"/>
        <w:keepNext/>
        <w:keepLines/>
      </w:pPr>
      <w:bookmarkStart w:id="302" w:name="_Toc383598019"/>
      <w:bookmarkStart w:id="303" w:name="_Toc415761898"/>
      <w:r>
        <w:t>Table 6</w:t>
      </w:r>
      <w:r w:rsidRPr="008E5D4C">
        <w:t>.</w:t>
      </w:r>
      <w:r w:rsidR="009A6D5E">
        <w:t>5</w:t>
      </w:r>
      <w:r w:rsidRPr="008E5D4C">
        <w:t xml:space="preserve">: PG&amp;E </w:t>
      </w:r>
      <w:r w:rsidR="00933F01" w:rsidRPr="00933F01">
        <w:rPr>
          <w:i/>
        </w:rPr>
        <w:t>Ex-post</w:t>
      </w:r>
      <w:r>
        <w:t xml:space="preserve"> versus </w:t>
      </w:r>
      <w:r w:rsidR="00933F01" w:rsidRPr="00933F01">
        <w:rPr>
          <w:i/>
        </w:rPr>
        <w:t>Ex-ante</w:t>
      </w:r>
      <w:r>
        <w:t xml:space="preserve"> Factors</w:t>
      </w:r>
      <w:bookmarkEnd w:id="302"/>
      <w:bookmarkEnd w:id="303"/>
    </w:p>
    <w:tbl>
      <w:tblPr>
        <w:tblW w:w="9452" w:type="dxa"/>
        <w:jc w:val="center"/>
        <w:tblLook w:val="04A0" w:firstRow="1" w:lastRow="0" w:firstColumn="1" w:lastColumn="0" w:noHBand="0" w:noVBand="1"/>
      </w:tblPr>
      <w:tblGrid>
        <w:gridCol w:w="1518"/>
        <w:gridCol w:w="3028"/>
        <w:gridCol w:w="2340"/>
        <w:gridCol w:w="2566"/>
      </w:tblGrid>
      <w:tr w:rsidR="002B724E" w:rsidRPr="008E5D4C" w14:paraId="70F3D107" w14:textId="77777777" w:rsidTr="00512433">
        <w:trPr>
          <w:trHeight w:val="510"/>
          <w:jc w:val="center"/>
        </w:trPr>
        <w:tc>
          <w:tcPr>
            <w:tcW w:w="151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1E0927F" w14:textId="77777777" w:rsidR="002B724E" w:rsidRPr="008E5D4C" w:rsidRDefault="002B724E" w:rsidP="00512433">
            <w:pPr>
              <w:pStyle w:val="TableHeader"/>
              <w:keepNext/>
              <w:keepLines/>
              <w:rPr>
                <w:color w:val="auto"/>
                <w:szCs w:val="20"/>
              </w:rPr>
            </w:pPr>
            <w:r w:rsidRPr="008E5D4C">
              <w:rPr>
                <w:color w:val="auto"/>
                <w:szCs w:val="20"/>
              </w:rPr>
              <w:t>Factor</w:t>
            </w:r>
          </w:p>
        </w:tc>
        <w:tc>
          <w:tcPr>
            <w:tcW w:w="302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F60C622" w14:textId="7EE75CE2" w:rsidR="002B724E" w:rsidRPr="008E5D4C" w:rsidRDefault="00933F01" w:rsidP="00512433">
            <w:pPr>
              <w:pStyle w:val="TableHeader"/>
              <w:keepNext/>
              <w:keepLines/>
              <w:rPr>
                <w:color w:val="auto"/>
                <w:szCs w:val="20"/>
              </w:rPr>
            </w:pPr>
            <w:r w:rsidRPr="00933F01">
              <w:rPr>
                <w:i/>
                <w:color w:val="auto"/>
                <w:szCs w:val="20"/>
              </w:rPr>
              <w:t>Ex-post</w:t>
            </w:r>
          </w:p>
        </w:tc>
        <w:tc>
          <w:tcPr>
            <w:tcW w:w="234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E9E08CD" w14:textId="5BE5C526" w:rsidR="002B724E" w:rsidRPr="008E5D4C" w:rsidRDefault="00933F01" w:rsidP="00512433">
            <w:pPr>
              <w:pStyle w:val="TableHeader"/>
              <w:keepNext/>
              <w:keepLines/>
              <w:rPr>
                <w:color w:val="auto"/>
                <w:szCs w:val="20"/>
              </w:rPr>
            </w:pPr>
            <w:r w:rsidRPr="00933F01">
              <w:rPr>
                <w:i/>
                <w:color w:val="auto"/>
                <w:szCs w:val="20"/>
              </w:rPr>
              <w:t>Ex-ante</w:t>
            </w:r>
          </w:p>
        </w:tc>
        <w:tc>
          <w:tcPr>
            <w:tcW w:w="256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3FC48374" w14:textId="77777777" w:rsidR="002B724E" w:rsidRPr="008E5D4C" w:rsidRDefault="002B724E" w:rsidP="00512433">
            <w:pPr>
              <w:pStyle w:val="TableHeader"/>
              <w:keepNext/>
              <w:keepLines/>
              <w:rPr>
                <w:color w:val="auto"/>
                <w:szCs w:val="20"/>
              </w:rPr>
            </w:pPr>
            <w:r w:rsidRPr="008E5D4C">
              <w:rPr>
                <w:color w:val="auto"/>
                <w:szCs w:val="20"/>
              </w:rPr>
              <w:t>Expected Impact</w:t>
            </w:r>
          </w:p>
        </w:tc>
      </w:tr>
      <w:tr w:rsidR="002B724E" w:rsidRPr="007F356D" w14:paraId="453DCFCF" w14:textId="77777777" w:rsidTr="00512433">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54A6FC38" w14:textId="77777777" w:rsidR="002B724E" w:rsidRPr="008E5D4C" w:rsidRDefault="002B724E" w:rsidP="00512433">
            <w:pPr>
              <w:pStyle w:val="TableText"/>
              <w:keepNext/>
              <w:keepLines/>
              <w:jc w:val="left"/>
              <w:rPr>
                <w:sz w:val="20"/>
                <w:szCs w:val="20"/>
              </w:rPr>
            </w:pPr>
            <w:r w:rsidRPr="008E5D4C">
              <w:rPr>
                <w:sz w:val="20"/>
                <w:szCs w:val="20"/>
              </w:rPr>
              <w:t>Weather</w:t>
            </w:r>
          </w:p>
        </w:tc>
        <w:tc>
          <w:tcPr>
            <w:tcW w:w="3028" w:type="dxa"/>
            <w:tcBorders>
              <w:top w:val="single" w:sz="4" w:space="0" w:color="auto"/>
              <w:left w:val="nil"/>
              <w:bottom w:val="single" w:sz="4" w:space="0" w:color="auto"/>
              <w:right w:val="single" w:sz="4" w:space="0" w:color="auto"/>
            </w:tcBorders>
            <w:shd w:val="clear" w:color="auto" w:fill="auto"/>
            <w:noWrap/>
          </w:tcPr>
          <w:p w14:paraId="2526C1CB" w14:textId="6A20508E" w:rsidR="002B724E" w:rsidRPr="008E5D4C" w:rsidRDefault="002B724E" w:rsidP="00ED3D27">
            <w:pPr>
              <w:pStyle w:val="TableText"/>
              <w:keepNext/>
              <w:keepLines/>
              <w:spacing w:after="120"/>
              <w:jc w:val="left"/>
              <w:rPr>
                <w:rFonts w:cs="Calibri"/>
                <w:sz w:val="20"/>
                <w:szCs w:val="20"/>
              </w:rPr>
            </w:pPr>
            <w:r>
              <w:rPr>
                <w:rFonts w:cs="Calibri"/>
                <w:sz w:val="20"/>
                <w:szCs w:val="20"/>
              </w:rPr>
              <w:t>8</w:t>
            </w:r>
            <w:r w:rsidR="00ED3D27">
              <w:rPr>
                <w:rFonts w:cs="Calibri"/>
                <w:sz w:val="20"/>
                <w:szCs w:val="20"/>
              </w:rPr>
              <w:t>3</w:t>
            </w:r>
            <w:r>
              <w:rPr>
                <w:rFonts w:cs="Calibri"/>
                <w:sz w:val="20"/>
                <w:szCs w:val="20"/>
              </w:rPr>
              <w:t>.</w:t>
            </w:r>
            <w:r w:rsidR="00ED3D27">
              <w:rPr>
                <w:rFonts w:cs="Calibri"/>
                <w:sz w:val="20"/>
                <w:szCs w:val="20"/>
              </w:rPr>
              <w:t>8</w:t>
            </w:r>
            <w:r>
              <w:rPr>
                <w:rFonts w:cs="Calibri"/>
                <w:sz w:val="20"/>
                <w:szCs w:val="20"/>
              </w:rPr>
              <w:t xml:space="preserve"> degrees Fahrenheit during event hours.</w:t>
            </w:r>
          </w:p>
        </w:tc>
        <w:tc>
          <w:tcPr>
            <w:tcW w:w="2340" w:type="dxa"/>
            <w:tcBorders>
              <w:top w:val="single" w:sz="4" w:space="0" w:color="auto"/>
              <w:left w:val="nil"/>
              <w:bottom w:val="single" w:sz="4" w:space="0" w:color="auto"/>
              <w:right w:val="single" w:sz="4" w:space="0" w:color="auto"/>
            </w:tcBorders>
            <w:shd w:val="clear" w:color="000000" w:fill="FFFFFF"/>
          </w:tcPr>
          <w:p w14:paraId="5AE54D3B" w14:textId="18B492F0" w:rsidR="002B724E" w:rsidRPr="008E5D4C" w:rsidRDefault="00ED3D27" w:rsidP="00ED3D27">
            <w:pPr>
              <w:pStyle w:val="TableText"/>
              <w:keepNext/>
              <w:keepLines/>
              <w:jc w:val="left"/>
              <w:rPr>
                <w:sz w:val="20"/>
                <w:szCs w:val="20"/>
              </w:rPr>
            </w:pPr>
            <w:r>
              <w:rPr>
                <w:rFonts w:cs="Calibri"/>
                <w:sz w:val="20"/>
                <w:szCs w:val="20"/>
              </w:rPr>
              <w:t>90.7</w:t>
            </w:r>
            <w:r w:rsidR="002B724E">
              <w:rPr>
                <w:rFonts w:cs="Calibri"/>
                <w:sz w:val="20"/>
                <w:szCs w:val="20"/>
              </w:rPr>
              <w:t xml:space="preserve"> degrees Fahrenheit during event hours on </w:t>
            </w:r>
            <w:r>
              <w:rPr>
                <w:rFonts w:cs="Calibri"/>
                <w:sz w:val="20"/>
                <w:szCs w:val="20"/>
              </w:rPr>
              <w:t xml:space="preserve">utility-specific </w:t>
            </w:r>
            <w:r w:rsidR="002B724E">
              <w:rPr>
                <w:rFonts w:cs="Calibri"/>
                <w:sz w:val="20"/>
                <w:szCs w:val="20"/>
              </w:rPr>
              <w:t xml:space="preserve">1-in-2 </w:t>
            </w:r>
            <w:r>
              <w:rPr>
                <w:rFonts w:cs="Calibri"/>
                <w:sz w:val="20"/>
                <w:szCs w:val="20"/>
              </w:rPr>
              <w:t>typical event day</w:t>
            </w:r>
            <w:r w:rsidR="002B724E">
              <w:rPr>
                <w:rFonts w:cs="Calibri"/>
                <w:sz w:val="20"/>
                <w:szCs w:val="20"/>
              </w:rPr>
              <w:t>.</w:t>
            </w:r>
          </w:p>
        </w:tc>
        <w:tc>
          <w:tcPr>
            <w:tcW w:w="2566" w:type="dxa"/>
            <w:tcBorders>
              <w:top w:val="single" w:sz="4" w:space="0" w:color="auto"/>
              <w:left w:val="nil"/>
              <w:bottom w:val="single" w:sz="4" w:space="0" w:color="auto"/>
              <w:right w:val="single" w:sz="4" w:space="0" w:color="auto"/>
            </w:tcBorders>
            <w:shd w:val="clear" w:color="000000" w:fill="FFFFFF"/>
          </w:tcPr>
          <w:p w14:paraId="29D0AB06" w14:textId="77510C9E" w:rsidR="002B724E" w:rsidRPr="008E5D4C" w:rsidRDefault="002B724E" w:rsidP="009A6D5E">
            <w:pPr>
              <w:pStyle w:val="TableText"/>
              <w:keepNext/>
              <w:keepLines/>
              <w:jc w:val="left"/>
              <w:rPr>
                <w:sz w:val="20"/>
                <w:szCs w:val="20"/>
              </w:rPr>
            </w:pPr>
            <w:r>
              <w:rPr>
                <w:sz w:val="20"/>
                <w:szCs w:val="20"/>
              </w:rPr>
              <w:t xml:space="preserve">Hotter </w:t>
            </w:r>
            <w:r w:rsidR="00933F01" w:rsidRPr="00933F01">
              <w:rPr>
                <w:i/>
                <w:sz w:val="20"/>
                <w:szCs w:val="20"/>
              </w:rPr>
              <w:t>ex-ante</w:t>
            </w:r>
            <w:r>
              <w:rPr>
                <w:sz w:val="20"/>
                <w:szCs w:val="20"/>
              </w:rPr>
              <w:t xml:space="preserve"> weather increases the reference load somewhat but has </w:t>
            </w:r>
            <w:r w:rsidR="009A6D5E">
              <w:rPr>
                <w:sz w:val="20"/>
                <w:szCs w:val="20"/>
              </w:rPr>
              <w:t>little</w:t>
            </w:r>
            <w:r>
              <w:rPr>
                <w:sz w:val="20"/>
                <w:szCs w:val="20"/>
              </w:rPr>
              <w:t xml:space="preserve"> e</w:t>
            </w:r>
            <w:r w:rsidR="009A6D5E">
              <w:rPr>
                <w:sz w:val="20"/>
                <w:szCs w:val="20"/>
              </w:rPr>
              <w:t>ffect on load impacts because the majority of the LI comes from non-weather sensitive customers</w:t>
            </w:r>
            <w:r>
              <w:rPr>
                <w:sz w:val="20"/>
                <w:szCs w:val="20"/>
              </w:rPr>
              <w:t>.</w:t>
            </w:r>
          </w:p>
        </w:tc>
      </w:tr>
      <w:tr w:rsidR="002B724E" w:rsidRPr="007F356D" w14:paraId="69186A8B"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6F5A0EBD" w14:textId="77777777" w:rsidR="002B724E" w:rsidRPr="008E5D4C" w:rsidRDefault="002B724E" w:rsidP="00512433">
            <w:pPr>
              <w:pStyle w:val="TableText"/>
              <w:keepNext/>
              <w:keepLines/>
              <w:jc w:val="left"/>
              <w:rPr>
                <w:sz w:val="20"/>
                <w:szCs w:val="20"/>
              </w:rPr>
            </w:pPr>
            <w:r w:rsidRPr="008E5D4C">
              <w:rPr>
                <w:sz w:val="20"/>
                <w:szCs w:val="20"/>
              </w:rPr>
              <w:t>Event window</w:t>
            </w:r>
          </w:p>
        </w:tc>
        <w:tc>
          <w:tcPr>
            <w:tcW w:w="3028" w:type="dxa"/>
            <w:tcBorders>
              <w:top w:val="nil"/>
              <w:left w:val="nil"/>
              <w:bottom w:val="single" w:sz="4" w:space="0" w:color="auto"/>
              <w:right w:val="single" w:sz="4" w:space="0" w:color="auto"/>
            </w:tcBorders>
            <w:shd w:val="clear" w:color="auto" w:fill="auto"/>
            <w:noWrap/>
          </w:tcPr>
          <w:p w14:paraId="6CF460FE" w14:textId="77777777" w:rsidR="002B724E" w:rsidRPr="008E5D4C" w:rsidRDefault="002B724E" w:rsidP="00512433">
            <w:pPr>
              <w:pStyle w:val="TableText"/>
              <w:keepNext/>
              <w:keepLines/>
              <w:jc w:val="left"/>
              <w:rPr>
                <w:rFonts w:cs="Calibri"/>
                <w:sz w:val="20"/>
                <w:szCs w:val="20"/>
              </w:rPr>
            </w:pPr>
            <w:r>
              <w:rPr>
                <w:rFonts w:cs="Calibri"/>
                <w:sz w:val="20"/>
                <w:szCs w:val="20"/>
              </w:rPr>
              <w:t>HE 13-20.</w:t>
            </w:r>
          </w:p>
        </w:tc>
        <w:tc>
          <w:tcPr>
            <w:tcW w:w="2340" w:type="dxa"/>
            <w:tcBorders>
              <w:top w:val="nil"/>
              <w:left w:val="nil"/>
              <w:bottom w:val="single" w:sz="4" w:space="0" w:color="auto"/>
              <w:right w:val="single" w:sz="4" w:space="0" w:color="auto"/>
            </w:tcBorders>
            <w:shd w:val="clear" w:color="000000" w:fill="FFFFFF"/>
          </w:tcPr>
          <w:p w14:paraId="7639E5AF" w14:textId="77777777" w:rsidR="002B724E" w:rsidRDefault="002B724E" w:rsidP="00512433">
            <w:pPr>
              <w:pStyle w:val="TableText"/>
              <w:keepNext/>
              <w:keepLines/>
              <w:jc w:val="left"/>
              <w:rPr>
                <w:sz w:val="20"/>
                <w:szCs w:val="20"/>
              </w:rPr>
            </w:pPr>
            <w:r>
              <w:rPr>
                <w:sz w:val="20"/>
                <w:szCs w:val="20"/>
              </w:rPr>
              <w:t>HE 14-18 in Apr-Oct;</w:t>
            </w:r>
          </w:p>
          <w:p w14:paraId="262D5CB1" w14:textId="77777777" w:rsidR="002B724E" w:rsidRPr="008E5D4C" w:rsidRDefault="002B724E" w:rsidP="00512433">
            <w:pPr>
              <w:pStyle w:val="TableText"/>
              <w:keepNext/>
              <w:keepLines/>
              <w:jc w:val="left"/>
              <w:rPr>
                <w:sz w:val="20"/>
                <w:szCs w:val="20"/>
              </w:rPr>
            </w:pPr>
            <w:r>
              <w:rPr>
                <w:sz w:val="20"/>
                <w:szCs w:val="20"/>
              </w:rPr>
              <w:t>HE 17-21 in Nov-Mar.</w:t>
            </w:r>
          </w:p>
        </w:tc>
        <w:tc>
          <w:tcPr>
            <w:tcW w:w="2566" w:type="dxa"/>
            <w:tcBorders>
              <w:top w:val="nil"/>
              <w:left w:val="nil"/>
              <w:bottom w:val="single" w:sz="4" w:space="0" w:color="auto"/>
              <w:right w:val="single" w:sz="4" w:space="0" w:color="auto"/>
            </w:tcBorders>
            <w:shd w:val="clear" w:color="000000" w:fill="FFFFFF"/>
          </w:tcPr>
          <w:p w14:paraId="3549BE5B" w14:textId="77777777" w:rsidR="002B724E" w:rsidRPr="008E5D4C" w:rsidRDefault="002B724E" w:rsidP="00512433">
            <w:pPr>
              <w:pStyle w:val="TableText"/>
              <w:keepNext/>
              <w:keepLines/>
              <w:jc w:val="left"/>
              <w:rPr>
                <w:sz w:val="20"/>
                <w:szCs w:val="20"/>
              </w:rPr>
            </w:pPr>
            <w:r>
              <w:rPr>
                <w:sz w:val="20"/>
                <w:szCs w:val="20"/>
              </w:rPr>
              <w:t>Minimal in summer; non-summer load impacts are speculative as we have not observed events in those months.</w:t>
            </w:r>
          </w:p>
        </w:tc>
      </w:tr>
      <w:tr w:rsidR="002B724E" w:rsidRPr="007F356D" w14:paraId="1DAF1B58"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68BC4D41" w14:textId="77777777" w:rsidR="002B724E" w:rsidRPr="008E5D4C" w:rsidRDefault="002B724E" w:rsidP="00512433">
            <w:pPr>
              <w:pStyle w:val="TableText"/>
              <w:keepNext/>
              <w:keepLines/>
              <w:jc w:val="left"/>
              <w:rPr>
                <w:sz w:val="20"/>
                <w:szCs w:val="20"/>
              </w:rPr>
            </w:pPr>
            <w:r w:rsidRPr="008E5D4C">
              <w:rPr>
                <w:sz w:val="20"/>
                <w:szCs w:val="20"/>
              </w:rPr>
              <w:t>% of resource dispatched</w:t>
            </w:r>
          </w:p>
        </w:tc>
        <w:tc>
          <w:tcPr>
            <w:tcW w:w="3028" w:type="dxa"/>
            <w:tcBorders>
              <w:top w:val="nil"/>
              <w:left w:val="nil"/>
              <w:bottom w:val="single" w:sz="4" w:space="0" w:color="auto"/>
              <w:right w:val="single" w:sz="4" w:space="0" w:color="auto"/>
            </w:tcBorders>
            <w:shd w:val="clear" w:color="auto" w:fill="auto"/>
            <w:noWrap/>
          </w:tcPr>
          <w:p w14:paraId="1AECB2FF" w14:textId="030D7CD3" w:rsidR="002B724E" w:rsidRPr="008E5D4C" w:rsidRDefault="00ED3D27" w:rsidP="00A802C6">
            <w:pPr>
              <w:pStyle w:val="TableText"/>
              <w:keepNext/>
              <w:keepLines/>
              <w:jc w:val="left"/>
              <w:rPr>
                <w:rFonts w:cs="Calibri"/>
                <w:sz w:val="20"/>
                <w:szCs w:val="20"/>
              </w:rPr>
            </w:pPr>
            <w:r>
              <w:rPr>
                <w:rFonts w:cs="Calibri"/>
                <w:sz w:val="20"/>
                <w:szCs w:val="20"/>
              </w:rPr>
              <w:t>9</w:t>
            </w:r>
            <w:r w:rsidR="002B724E">
              <w:rPr>
                <w:rFonts w:cs="Calibri"/>
                <w:sz w:val="20"/>
                <w:szCs w:val="20"/>
              </w:rPr>
              <w:t xml:space="preserve"> events with full dispatch; 3 with </w:t>
            </w:r>
            <w:r w:rsidR="00A802C6">
              <w:rPr>
                <w:rFonts w:cs="Calibri"/>
                <w:sz w:val="20"/>
                <w:szCs w:val="20"/>
              </w:rPr>
              <w:t>locational</w:t>
            </w:r>
            <w:r w:rsidR="002B724E">
              <w:rPr>
                <w:rFonts w:cs="Calibri"/>
                <w:sz w:val="20"/>
                <w:szCs w:val="20"/>
              </w:rPr>
              <w:t xml:space="preserve"> dispatch.</w:t>
            </w:r>
          </w:p>
        </w:tc>
        <w:tc>
          <w:tcPr>
            <w:tcW w:w="2340" w:type="dxa"/>
            <w:tcBorders>
              <w:top w:val="nil"/>
              <w:left w:val="nil"/>
              <w:bottom w:val="single" w:sz="4" w:space="0" w:color="auto"/>
              <w:right w:val="single" w:sz="4" w:space="0" w:color="auto"/>
            </w:tcBorders>
            <w:shd w:val="clear" w:color="000000" w:fill="FFFFFF"/>
          </w:tcPr>
          <w:p w14:paraId="059BA832" w14:textId="77777777" w:rsidR="002B724E" w:rsidRPr="008E5D4C" w:rsidRDefault="002B724E" w:rsidP="00512433">
            <w:pPr>
              <w:pStyle w:val="TableText"/>
              <w:keepNext/>
              <w:keepLines/>
              <w:jc w:val="left"/>
              <w:rPr>
                <w:sz w:val="20"/>
                <w:szCs w:val="20"/>
              </w:rPr>
            </w:pPr>
            <w:r>
              <w:rPr>
                <w:sz w:val="20"/>
                <w:szCs w:val="20"/>
              </w:rPr>
              <w:t>Assume all customers are called.</w:t>
            </w:r>
          </w:p>
        </w:tc>
        <w:tc>
          <w:tcPr>
            <w:tcW w:w="2566" w:type="dxa"/>
            <w:tcBorders>
              <w:top w:val="nil"/>
              <w:left w:val="nil"/>
              <w:bottom w:val="single" w:sz="4" w:space="0" w:color="auto"/>
              <w:right w:val="single" w:sz="4" w:space="0" w:color="auto"/>
            </w:tcBorders>
            <w:shd w:val="clear" w:color="000000" w:fill="FFFFFF"/>
          </w:tcPr>
          <w:p w14:paraId="3F904B8C" w14:textId="60D15435" w:rsidR="002B724E" w:rsidRPr="008E5D4C" w:rsidRDefault="002B724E" w:rsidP="00512433">
            <w:pPr>
              <w:pStyle w:val="TableText"/>
              <w:keepNext/>
              <w:keepLines/>
              <w:jc w:val="left"/>
              <w:rPr>
                <w:sz w:val="20"/>
                <w:szCs w:val="20"/>
              </w:rPr>
            </w:pPr>
            <w:r>
              <w:rPr>
                <w:sz w:val="20"/>
                <w:szCs w:val="20"/>
              </w:rPr>
              <w:t xml:space="preserve">None. The </w:t>
            </w:r>
            <w:r w:rsidR="00933F01" w:rsidRPr="00933F01">
              <w:rPr>
                <w:i/>
                <w:sz w:val="20"/>
                <w:szCs w:val="20"/>
              </w:rPr>
              <w:t>ex-ante</w:t>
            </w:r>
            <w:r>
              <w:rPr>
                <w:sz w:val="20"/>
                <w:szCs w:val="20"/>
              </w:rPr>
              <w:t xml:space="preserve"> method assumes that all enrolled customers are dispatched.</w:t>
            </w:r>
          </w:p>
        </w:tc>
      </w:tr>
      <w:tr w:rsidR="002B724E" w:rsidRPr="007F356D" w14:paraId="1A514E2E"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61B8BE82" w14:textId="77777777" w:rsidR="002B724E" w:rsidRPr="008E5D4C" w:rsidRDefault="002B724E" w:rsidP="00512433">
            <w:pPr>
              <w:pStyle w:val="TableText"/>
              <w:keepNext/>
              <w:keepLines/>
              <w:jc w:val="left"/>
              <w:rPr>
                <w:sz w:val="20"/>
                <w:szCs w:val="20"/>
              </w:rPr>
            </w:pPr>
            <w:r w:rsidRPr="008E5D4C">
              <w:rPr>
                <w:sz w:val="20"/>
                <w:szCs w:val="20"/>
              </w:rPr>
              <w:t>Enrollment</w:t>
            </w:r>
          </w:p>
        </w:tc>
        <w:tc>
          <w:tcPr>
            <w:tcW w:w="3028" w:type="dxa"/>
            <w:tcBorders>
              <w:top w:val="nil"/>
              <w:left w:val="nil"/>
              <w:bottom w:val="single" w:sz="4" w:space="0" w:color="auto"/>
              <w:right w:val="single" w:sz="4" w:space="0" w:color="auto"/>
            </w:tcBorders>
            <w:shd w:val="clear" w:color="auto" w:fill="auto"/>
            <w:noWrap/>
          </w:tcPr>
          <w:p w14:paraId="07715C45" w14:textId="29BAFCD5" w:rsidR="002B724E" w:rsidRPr="008E5D4C" w:rsidRDefault="00ED3D27" w:rsidP="00512433">
            <w:pPr>
              <w:pStyle w:val="TableText"/>
              <w:keepNext/>
              <w:keepLines/>
              <w:jc w:val="left"/>
              <w:rPr>
                <w:rFonts w:cs="Calibri"/>
                <w:sz w:val="20"/>
                <w:szCs w:val="20"/>
              </w:rPr>
            </w:pPr>
            <w:r>
              <w:rPr>
                <w:rFonts w:cs="Calibri"/>
                <w:sz w:val="20"/>
                <w:szCs w:val="20"/>
              </w:rPr>
              <w:t>846</w:t>
            </w:r>
            <w:r w:rsidR="002B724E">
              <w:rPr>
                <w:rFonts w:cs="Calibri"/>
                <w:sz w:val="20"/>
                <w:szCs w:val="20"/>
              </w:rPr>
              <w:t xml:space="preserve"> SAIDs during the average event day.</w:t>
            </w:r>
          </w:p>
        </w:tc>
        <w:tc>
          <w:tcPr>
            <w:tcW w:w="2340" w:type="dxa"/>
            <w:tcBorders>
              <w:top w:val="nil"/>
              <w:left w:val="nil"/>
              <w:bottom w:val="single" w:sz="4" w:space="0" w:color="auto"/>
              <w:right w:val="single" w:sz="4" w:space="0" w:color="auto"/>
            </w:tcBorders>
            <w:shd w:val="clear" w:color="000000" w:fill="FFFFFF"/>
          </w:tcPr>
          <w:p w14:paraId="22ED6AC8" w14:textId="144AD5D4" w:rsidR="002B724E" w:rsidRPr="008E5D4C" w:rsidRDefault="00ED3D27" w:rsidP="00512433">
            <w:pPr>
              <w:pStyle w:val="TableText"/>
              <w:keepNext/>
              <w:keepLines/>
              <w:jc w:val="left"/>
              <w:rPr>
                <w:sz w:val="20"/>
                <w:szCs w:val="20"/>
              </w:rPr>
            </w:pPr>
            <w:r>
              <w:rPr>
                <w:sz w:val="20"/>
                <w:szCs w:val="20"/>
              </w:rPr>
              <w:t>784</w:t>
            </w:r>
            <w:r w:rsidR="002B724E">
              <w:rPr>
                <w:sz w:val="20"/>
                <w:szCs w:val="20"/>
              </w:rPr>
              <w:t xml:space="preserve"> SAIDs.</w:t>
            </w:r>
          </w:p>
        </w:tc>
        <w:tc>
          <w:tcPr>
            <w:tcW w:w="2566" w:type="dxa"/>
            <w:tcBorders>
              <w:top w:val="nil"/>
              <w:left w:val="nil"/>
              <w:bottom w:val="single" w:sz="4" w:space="0" w:color="auto"/>
              <w:right w:val="single" w:sz="4" w:space="0" w:color="auto"/>
            </w:tcBorders>
            <w:shd w:val="clear" w:color="000000" w:fill="FFFFFF"/>
          </w:tcPr>
          <w:p w14:paraId="0926387A" w14:textId="52818F5D" w:rsidR="002B724E" w:rsidRPr="0025461A" w:rsidRDefault="009A6D5E" w:rsidP="009A6D5E">
            <w:pPr>
              <w:pStyle w:val="TableText"/>
              <w:keepNext/>
              <w:keepLines/>
              <w:jc w:val="left"/>
              <w:rPr>
                <w:sz w:val="20"/>
                <w:szCs w:val="20"/>
                <w:highlight w:val="yellow"/>
              </w:rPr>
            </w:pPr>
            <w:r>
              <w:rPr>
                <w:sz w:val="20"/>
                <w:szCs w:val="20"/>
              </w:rPr>
              <w:t>Departing customers tended to be smaller than average and provided no LI. Their absence increases per-customer reference loads and load impacts.</w:t>
            </w:r>
          </w:p>
        </w:tc>
      </w:tr>
      <w:tr w:rsidR="002B724E" w:rsidRPr="007F356D" w14:paraId="7EE2BEE1"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3C30F47B" w14:textId="77777777" w:rsidR="002B724E" w:rsidRPr="008E5D4C" w:rsidRDefault="002B724E" w:rsidP="00512433">
            <w:pPr>
              <w:pStyle w:val="TableText"/>
              <w:keepNext/>
              <w:keepLines/>
              <w:jc w:val="left"/>
              <w:rPr>
                <w:sz w:val="20"/>
                <w:szCs w:val="20"/>
              </w:rPr>
            </w:pPr>
            <w:r w:rsidRPr="008E5D4C">
              <w:rPr>
                <w:sz w:val="20"/>
                <w:szCs w:val="20"/>
              </w:rPr>
              <w:t>Methodology</w:t>
            </w:r>
          </w:p>
        </w:tc>
        <w:tc>
          <w:tcPr>
            <w:tcW w:w="3028" w:type="dxa"/>
            <w:tcBorders>
              <w:top w:val="nil"/>
              <w:left w:val="nil"/>
              <w:bottom w:val="single" w:sz="4" w:space="0" w:color="auto"/>
              <w:right w:val="single" w:sz="4" w:space="0" w:color="auto"/>
            </w:tcBorders>
            <w:shd w:val="clear" w:color="auto" w:fill="auto"/>
            <w:noWrap/>
          </w:tcPr>
          <w:p w14:paraId="3D1FEE3F" w14:textId="77777777" w:rsidR="002B724E" w:rsidRPr="008E5D4C" w:rsidRDefault="002B724E" w:rsidP="00512433">
            <w:pPr>
              <w:pStyle w:val="TableText"/>
              <w:keepNext/>
              <w:keepLines/>
              <w:spacing w:after="120"/>
              <w:jc w:val="left"/>
              <w:rPr>
                <w:rFonts w:cs="Calibri"/>
                <w:sz w:val="20"/>
                <w:szCs w:val="20"/>
              </w:rPr>
            </w:pPr>
            <w:r>
              <w:rPr>
                <w:rFonts w:cs="Calibri"/>
                <w:sz w:val="20"/>
                <w:szCs w:val="20"/>
              </w:rPr>
              <w:t>SAID-specific regressions using own within-subject analysis.</w:t>
            </w:r>
          </w:p>
        </w:tc>
        <w:tc>
          <w:tcPr>
            <w:tcW w:w="2340" w:type="dxa"/>
            <w:tcBorders>
              <w:top w:val="nil"/>
              <w:left w:val="nil"/>
              <w:bottom w:val="single" w:sz="4" w:space="0" w:color="auto"/>
              <w:right w:val="single" w:sz="4" w:space="0" w:color="auto"/>
            </w:tcBorders>
            <w:shd w:val="clear" w:color="000000" w:fill="FFFFFF"/>
          </w:tcPr>
          <w:p w14:paraId="0D03BF61" w14:textId="77777777" w:rsidR="002B724E" w:rsidRPr="008E5D4C" w:rsidRDefault="002B724E" w:rsidP="00512433">
            <w:pPr>
              <w:pStyle w:val="TableText"/>
              <w:keepNext/>
              <w:keepLines/>
              <w:jc w:val="left"/>
              <w:rPr>
                <w:sz w:val="20"/>
                <w:szCs w:val="20"/>
              </w:rPr>
            </w:pPr>
            <w:r>
              <w:rPr>
                <w:sz w:val="20"/>
                <w:szCs w:val="20"/>
              </w:rPr>
              <w:t xml:space="preserve">Reference loads are simulated from </w:t>
            </w:r>
            <w:r>
              <w:rPr>
                <w:rFonts w:cs="Calibri"/>
                <w:sz w:val="20"/>
                <w:szCs w:val="20"/>
              </w:rPr>
              <w:t>SAID-specific regressions. Load impacts are based on (up to) 3-years of SAID-specific load impacts.</w:t>
            </w:r>
          </w:p>
        </w:tc>
        <w:tc>
          <w:tcPr>
            <w:tcW w:w="2566" w:type="dxa"/>
            <w:tcBorders>
              <w:top w:val="nil"/>
              <w:left w:val="nil"/>
              <w:bottom w:val="single" w:sz="4" w:space="0" w:color="auto"/>
              <w:right w:val="single" w:sz="4" w:space="0" w:color="auto"/>
            </w:tcBorders>
            <w:shd w:val="clear" w:color="000000" w:fill="FFFFFF"/>
          </w:tcPr>
          <w:p w14:paraId="63D1B391" w14:textId="0613CA9B" w:rsidR="002B724E" w:rsidRPr="008E5D4C" w:rsidRDefault="002B724E" w:rsidP="009A6D5E">
            <w:pPr>
              <w:pStyle w:val="TableText"/>
              <w:keepNext/>
              <w:keepLines/>
              <w:jc w:val="left"/>
              <w:rPr>
                <w:sz w:val="20"/>
                <w:szCs w:val="20"/>
              </w:rPr>
            </w:pPr>
            <w:r>
              <w:rPr>
                <w:sz w:val="20"/>
                <w:szCs w:val="20"/>
              </w:rPr>
              <w:t xml:space="preserve">Use of 3 years of load impacts tends to increase load impacts relative to current-year </w:t>
            </w:r>
            <w:r w:rsidR="00933F01" w:rsidRPr="00933F01">
              <w:rPr>
                <w:i/>
                <w:sz w:val="20"/>
                <w:szCs w:val="20"/>
              </w:rPr>
              <w:t>ex-post</w:t>
            </w:r>
            <w:r>
              <w:rPr>
                <w:sz w:val="20"/>
                <w:szCs w:val="20"/>
              </w:rPr>
              <w:t xml:space="preserve"> estimates because PY1</w:t>
            </w:r>
            <w:r w:rsidR="009A6D5E">
              <w:rPr>
                <w:sz w:val="20"/>
                <w:szCs w:val="20"/>
              </w:rPr>
              <w:t>4</w:t>
            </w:r>
            <w:r>
              <w:rPr>
                <w:sz w:val="20"/>
                <w:szCs w:val="20"/>
              </w:rPr>
              <w:t xml:space="preserve"> ha</w:t>
            </w:r>
            <w:r w:rsidR="009A6D5E">
              <w:rPr>
                <w:sz w:val="20"/>
                <w:szCs w:val="20"/>
              </w:rPr>
              <w:t>s lower</w:t>
            </w:r>
            <w:r>
              <w:rPr>
                <w:sz w:val="20"/>
                <w:szCs w:val="20"/>
              </w:rPr>
              <w:t xml:space="preserve"> %LI</w:t>
            </w:r>
            <w:r w:rsidR="009A6D5E">
              <w:rPr>
                <w:sz w:val="20"/>
                <w:szCs w:val="20"/>
              </w:rPr>
              <w:t xml:space="preserve"> for some large responders</w:t>
            </w:r>
            <w:r>
              <w:rPr>
                <w:sz w:val="20"/>
                <w:szCs w:val="20"/>
              </w:rPr>
              <w:t>.</w:t>
            </w:r>
          </w:p>
        </w:tc>
      </w:tr>
    </w:tbl>
    <w:p w14:paraId="5BC1AB95" w14:textId="77777777" w:rsidR="002B724E" w:rsidRDefault="002B724E" w:rsidP="002B724E"/>
    <w:p w14:paraId="2FE0580F" w14:textId="10A84DA0" w:rsidR="002B724E" w:rsidRDefault="00762732" w:rsidP="002B724E">
      <w:r>
        <w:t xml:space="preserve">Table 6.6 decomposes the major contributing factors of the differences between the </w:t>
      </w:r>
      <w:r w:rsidR="00933F01" w:rsidRPr="00933F01">
        <w:rPr>
          <w:i/>
        </w:rPr>
        <w:t>ex-post</w:t>
      </w:r>
      <w:r>
        <w:t xml:space="preserve"> and </w:t>
      </w:r>
      <w:r w:rsidR="00933F01" w:rsidRPr="00933F01">
        <w:rPr>
          <w:i/>
        </w:rPr>
        <w:t>ex-ante</w:t>
      </w:r>
      <w:r>
        <w:t xml:space="preserve"> load impacts. The top row contains the </w:t>
      </w:r>
      <w:r w:rsidR="00933F01" w:rsidRPr="00933F01">
        <w:rPr>
          <w:i/>
        </w:rPr>
        <w:t>ex-ante</w:t>
      </w:r>
      <w:r>
        <w:t xml:space="preserve"> forecast (again for the utility-specific 1-in-2 typical event day). The bottom row contain the </w:t>
      </w:r>
      <w:r w:rsidR="00933F01" w:rsidRPr="00933F01">
        <w:rPr>
          <w:i/>
        </w:rPr>
        <w:t>ex-post</w:t>
      </w:r>
      <w:r>
        <w:t xml:space="preserve"> load impacts for the average event day and hour. The second row shows the effect of using only the PY2014 </w:t>
      </w:r>
      <w:r w:rsidR="00933F01" w:rsidRPr="00933F01">
        <w:rPr>
          <w:i/>
        </w:rPr>
        <w:t>ex-post</w:t>
      </w:r>
      <w:r>
        <w:t xml:space="preserve"> load impacts as the basis of the </w:t>
      </w:r>
      <w:r w:rsidR="00933F01" w:rsidRPr="00933F01">
        <w:rPr>
          <w:i/>
        </w:rPr>
        <w:t>ex-ante</w:t>
      </w:r>
      <w:r>
        <w:t xml:space="preserve"> forecast. Doing this reduces the program load impact from 32.5 MW to 27.5 MW. The third row shows the effect of the change in customer composition between the </w:t>
      </w:r>
      <w:r w:rsidR="00933F01" w:rsidRPr="00933F01">
        <w:rPr>
          <w:i/>
        </w:rPr>
        <w:t>ex-post</w:t>
      </w:r>
      <w:r>
        <w:t xml:space="preserve"> and </w:t>
      </w:r>
      <w:r w:rsidR="00933F01" w:rsidRPr="00933F01">
        <w:rPr>
          <w:i/>
        </w:rPr>
        <w:t>ex-ante</w:t>
      </w:r>
      <w:r>
        <w:t xml:space="preserve"> load impacts. Recall that small and non-responsive customers left the program and are not included in the </w:t>
      </w:r>
      <w:r w:rsidR="00933F01" w:rsidRPr="00933F01">
        <w:rPr>
          <w:i/>
        </w:rPr>
        <w:t>ex-ante</w:t>
      </w:r>
      <w:r>
        <w:t xml:space="preserve"> forecast. If we instead include those customers (but continue to scale load impacts to the 784 customer enrollment amount), the program load impact is </w:t>
      </w:r>
      <w:r>
        <w:lastRenderedPageBreak/>
        <w:t xml:space="preserve">further reduced to 26.6 MW. This is quite similar to the </w:t>
      </w:r>
      <w:r w:rsidR="00933F01" w:rsidRPr="00933F01">
        <w:rPr>
          <w:i/>
        </w:rPr>
        <w:t>ex-post</w:t>
      </w:r>
      <w:r>
        <w:t xml:space="preserve"> load impact of 25 MW. The remaining difference is due to differences between </w:t>
      </w:r>
      <w:r w:rsidR="00933F01" w:rsidRPr="00933F01">
        <w:rPr>
          <w:i/>
        </w:rPr>
        <w:t>ex-post</w:t>
      </w:r>
      <w:r>
        <w:t xml:space="preserve"> and </w:t>
      </w:r>
      <w:r w:rsidR="00933F01" w:rsidRPr="00933F01">
        <w:rPr>
          <w:i/>
        </w:rPr>
        <w:t>ex-ante</w:t>
      </w:r>
      <w:r>
        <w:t xml:space="preserve"> reference load levels, which can occur due to idiosyncratic factors our models are not capable of explaining. That is, large customer loads can fluctuate from day-to-day by multiple megawatts, for reasons we cannot observe (i.e., not weather, season, day type, or hour type). Because our methods assume constant percentage load impacts, differences in reference loads lead to corresponding differences in load impacts.</w:t>
      </w:r>
    </w:p>
    <w:p w14:paraId="0E8D204B" w14:textId="77777777" w:rsidR="00707DC5" w:rsidRDefault="00707DC5" w:rsidP="002B724E"/>
    <w:p w14:paraId="571C88DA" w14:textId="314791F0" w:rsidR="00707DC5" w:rsidRDefault="00707DC5" w:rsidP="00707DC5">
      <w:pPr>
        <w:pStyle w:val="TableCaption"/>
        <w:keepNext/>
        <w:keepLines/>
      </w:pPr>
      <w:bookmarkStart w:id="304" w:name="_Toc415761899"/>
      <w:r>
        <w:t xml:space="preserve">Table 6.6: Reconciling </w:t>
      </w:r>
      <w:r w:rsidR="00933F01" w:rsidRPr="00933F01">
        <w:rPr>
          <w:i/>
        </w:rPr>
        <w:t>Ex-post</w:t>
      </w:r>
      <w:r>
        <w:t xml:space="preserve"> and </w:t>
      </w:r>
      <w:r w:rsidR="00933F01" w:rsidRPr="00933F01">
        <w:rPr>
          <w:i/>
        </w:rPr>
        <w:t>Ex-ante</w:t>
      </w:r>
      <w:r>
        <w:t xml:space="preserve"> Load Impacts, PG&amp;E</w:t>
      </w:r>
      <w:bookmarkEnd w:id="304"/>
    </w:p>
    <w:tbl>
      <w:tblPr>
        <w:tblStyle w:val="TableGrid"/>
        <w:tblW w:w="0" w:type="auto"/>
        <w:jc w:val="center"/>
        <w:tblLook w:val="04A0" w:firstRow="1" w:lastRow="0" w:firstColumn="1" w:lastColumn="0" w:noHBand="0" w:noVBand="1"/>
      </w:tblPr>
      <w:tblGrid>
        <w:gridCol w:w="3796"/>
        <w:gridCol w:w="1717"/>
        <w:gridCol w:w="1394"/>
        <w:gridCol w:w="672"/>
      </w:tblGrid>
      <w:tr w:rsidR="00707DC5" w14:paraId="05D10EDB" w14:textId="77777777" w:rsidTr="00707DC5">
        <w:trPr>
          <w:jc w:val="center"/>
        </w:trPr>
        <w:tc>
          <w:tcPr>
            <w:tcW w:w="0" w:type="auto"/>
            <w:shd w:val="clear" w:color="auto" w:fill="DEEAF6" w:themeFill="accent1" w:themeFillTint="33"/>
            <w:vAlign w:val="center"/>
          </w:tcPr>
          <w:p w14:paraId="1C56EE94" w14:textId="7AED23C4" w:rsidR="00707DC5" w:rsidRPr="00707DC5" w:rsidRDefault="00707DC5" w:rsidP="00707DC5">
            <w:pPr>
              <w:keepNext/>
              <w:keepLines/>
              <w:rPr>
                <w:rFonts w:ascii="Arial" w:hAnsi="Arial" w:cs="Arial"/>
                <w:b/>
                <w:sz w:val="20"/>
                <w:szCs w:val="20"/>
              </w:rPr>
            </w:pPr>
            <w:r w:rsidRPr="00707DC5">
              <w:rPr>
                <w:rFonts w:ascii="Arial" w:hAnsi="Arial" w:cs="Arial"/>
                <w:b/>
                <w:sz w:val="20"/>
                <w:szCs w:val="20"/>
              </w:rPr>
              <w:t>Scenario</w:t>
            </w:r>
          </w:p>
        </w:tc>
        <w:tc>
          <w:tcPr>
            <w:tcW w:w="0" w:type="auto"/>
            <w:shd w:val="clear" w:color="auto" w:fill="DEEAF6" w:themeFill="accent1" w:themeFillTint="33"/>
            <w:vAlign w:val="center"/>
          </w:tcPr>
          <w:p w14:paraId="4E0B68A0" w14:textId="7681FE80" w:rsidR="00707DC5" w:rsidRPr="00707DC5" w:rsidRDefault="00707DC5" w:rsidP="00707DC5">
            <w:pPr>
              <w:keepNext/>
              <w:keepLines/>
              <w:jc w:val="center"/>
              <w:rPr>
                <w:rFonts w:ascii="Arial" w:hAnsi="Arial" w:cs="Arial"/>
                <w:b/>
                <w:sz w:val="20"/>
                <w:szCs w:val="20"/>
              </w:rPr>
            </w:pPr>
            <w:r w:rsidRPr="00707DC5">
              <w:rPr>
                <w:rFonts w:ascii="Arial" w:hAnsi="Arial" w:cs="Arial"/>
                <w:b/>
                <w:sz w:val="20"/>
                <w:szCs w:val="20"/>
              </w:rPr>
              <w:t>Reference Load</w:t>
            </w:r>
          </w:p>
        </w:tc>
        <w:tc>
          <w:tcPr>
            <w:tcW w:w="0" w:type="auto"/>
            <w:shd w:val="clear" w:color="auto" w:fill="DEEAF6" w:themeFill="accent1" w:themeFillTint="33"/>
            <w:vAlign w:val="center"/>
          </w:tcPr>
          <w:p w14:paraId="26B99932" w14:textId="740D6EB5" w:rsidR="00707DC5" w:rsidRPr="00707DC5" w:rsidRDefault="00707DC5" w:rsidP="00707DC5">
            <w:pPr>
              <w:keepNext/>
              <w:keepLines/>
              <w:jc w:val="center"/>
              <w:rPr>
                <w:rFonts w:ascii="Arial" w:hAnsi="Arial" w:cs="Arial"/>
                <w:b/>
                <w:sz w:val="20"/>
                <w:szCs w:val="20"/>
              </w:rPr>
            </w:pPr>
            <w:r w:rsidRPr="00707DC5">
              <w:rPr>
                <w:rFonts w:ascii="Arial" w:hAnsi="Arial" w:cs="Arial"/>
                <w:b/>
                <w:sz w:val="20"/>
                <w:szCs w:val="20"/>
              </w:rPr>
              <w:t>Load Impact</w:t>
            </w:r>
          </w:p>
        </w:tc>
        <w:tc>
          <w:tcPr>
            <w:tcW w:w="0" w:type="auto"/>
            <w:shd w:val="clear" w:color="auto" w:fill="DEEAF6" w:themeFill="accent1" w:themeFillTint="33"/>
            <w:vAlign w:val="center"/>
          </w:tcPr>
          <w:p w14:paraId="3936C930" w14:textId="425CF97C" w:rsidR="00707DC5" w:rsidRPr="00707DC5" w:rsidRDefault="00707DC5" w:rsidP="00707DC5">
            <w:pPr>
              <w:keepNext/>
              <w:keepLines/>
              <w:jc w:val="center"/>
              <w:rPr>
                <w:rFonts w:ascii="Arial" w:hAnsi="Arial" w:cs="Arial"/>
                <w:b/>
                <w:sz w:val="20"/>
                <w:szCs w:val="20"/>
              </w:rPr>
            </w:pPr>
            <w:r w:rsidRPr="00707DC5">
              <w:rPr>
                <w:rFonts w:ascii="Arial" w:hAnsi="Arial" w:cs="Arial"/>
                <w:b/>
                <w:sz w:val="20"/>
                <w:szCs w:val="20"/>
              </w:rPr>
              <w:t>% LI</w:t>
            </w:r>
          </w:p>
        </w:tc>
      </w:tr>
      <w:tr w:rsidR="00707DC5" w14:paraId="7F873382" w14:textId="77777777" w:rsidTr="00707DC5">
        <w:trPr>
          <w:jc w:val="center"/>
        </w:trPr>
        <w:tc>
          <w:tcPr>
            <w:tcW w:w="0" w:type="auto"/>
            <w:vAlign w:val="center"/>
          </w:tcPr>
          <w:p w14:paraId="4033A7EC" w14:textId="0D135395" w:rsidR="00707DC5" w:rsidRPr="00707DC5" w:rsidRDefault="00933F01" w:rsidP="00707DC5">
            <w:pPr>
              <w:keepNext/>
              <w:keepLines/>
              <w:rPr>
                <w:rFonts w:ascii="Arial" w:hAnsi="Arial" w:cs="Arial"/>
                <w:sz w:val="20"/>
                <w:szCs w:val="20"/>
              </w:rPr>
            </w:pPr>
            <w:r w:rsidRPr="00933F01">
              <w:rPr>
                <w:rFonts w:ascii="Arial" w:hAnsi="Arial" w:cs="Arial"/>
                <w:i/>
                <w:sz w:val="20"/>
                <w:szCs w:val="20"/>
              </w:rPr>
              <w:t>Ex-ante</w:t>
            </w:r>
            <w:r w:rsidR="00707DC5" w:rsidRPr="00707DC5">
              <w:rPr>
                <w:rFonts w:ascii="Arial" w:hAnsi="Arial" w:cs="Arial"/>
                <w:sz w:val="20"/>
                <w:szCs w:val="20"/>
              </w:rPr>
              <w:t xml:space="preserve"> using PY</w:t>
            </w:r>
            <w:r w:rsidR="00762732">
              <w:rPr>
                <w:rFonts w:ascii="Arial" w:hAnsi="Arial" w:cs="Arial"/>
                <w:sz w:val="20"/>
                <w:szCs w:val="20"/>
              </w:rPr>
              <w:t>20</w:t>
            </w:r>
            <w:r w:rsidR="00707DC5" w:rsidRPr="00707DC5">
              <w:rPr>
                <w:rFonts w:ascii="Arial" w:hAnsi="Arial" w:cs="Arial"/>
                <w:sz w:val="20"/>
                <w:szCs w:val="20"/>
              </w:rPr>
              <w:t>12-14</w:t>
            </w:r>
          </w:p>
        </w:tc>
        <w:tc>
          <w:tcPr>
            <w:tcW w:w="0" w:type="auto"/>
            <w:vAlign w:val="center"/>
          </w:tcPr>
          <w:p w14:paraId="18BDE3B3" w14:textId="24695CA8"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663.7</w:t>
            </w:r>
          </w:p>
        </w:tc>
        <w:tc>
          <w:tcPr>
            <w:tcW w:w="0" w:type="auto"/>
            <w:vAlign w:val="center"/>
          </w:tcPr>
          <w:p w14:paraId="47D51122" w14:textId="79146E39"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32.5</w:t>
            </w:r>
          </w:p>
        </w:tc>
        <w:tc>
          <w:tcPr>
            <w:tcW w:w="0" w:type="auto"/>
            <w:vAlign w:val="center"/>
          </w:tcPr>
          <w:p w14:paraId="53FF2DA7" w14:textId="1FD56EB4"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4.9%</w:t>
            </w:r>
          </w:p>
        </w:tc>
      </w:tr>
      <w:tr w:rsidR="00707DC5" w14:paraId="3C7F2E9C" w14:textId="77777777" w:rsidTr="00707DC5">
        <w:trPr>
          <w:jc w:val="center"/>
        </w:trPr>
        <w:tc>
          <w:tcPr>
            <w:tcW w:w="0" w:type="auto"/>
            <w:vAlign w:val="center"/>
          </w:tcPr>
          <w:p w14:paraId="00D00C40" w14:textId="1D863710" w:rsidR="00707DC5" w:rsidRPr="00707DC5" w:rsidRDefault="00933F01" w:rsidP="00707DC5">
            <w:pPr>
              <w:keepNext/>
              <w:keepLines/>
              <w:rPr>
                <w:rFonts w:ascii="Arial" w:hAnsi="Arial" w:cs="Arial"/>
                <w:sz w:val="20"/>
                <w:szCs w:val="20"/>
              </w:rPr>
            </w:pPr>
            <w:r w:rsidRPr="00933F01">
              <w:rPr>
                <w:rFonts w:ascii="Arial" w:hAnsi="Arial" w:cs="Arial"/>
                <w:i/>
                <w:sz w:val="20"/>
                <w:szCs w:val="20"/>
              </w:rPr>
              <w:t>Ex-ante</w:t>
            </w:r>
            <w:r w:rsidR="00707DC5" w:rsidRPr="00707DC5">
              <w:rPr>
                <w:rFonts w:ascii="Arial" w:hAnsi="Arial" w:cs="Arial"/>
                <w:sz w:val="20"/>
                <w:szCs w:val="20"/>
              </w:rPr>
              <w:t xml:space="preserve"> using only PY</w:t>
            </w:r>
            <w:r w:rsidR="00762732">
              <w:rPr>
                <w:rFonts w:ascii="Arial" w:hAnsi="Arial" w:cs="Arial"/>
                <w:sz w:val="20"/>
                <w:szCs w:val="20"/>
              </w:rPr>
              <w:t>20</w:t>
            </w:r>
            <w:r w:rsidR="00707DC5" w:rsidRPr="00707DC5">
              <w:rPr>
                <w:rFonts w:ascii="Arial" w:hAnsi="Arial" w:cs="Arial"/>
                <w:sz w:val="20"/>
                <w:szCs w:val="20"/>
              </w:rPr>
              <w:t>14</w:t>
            </w:r>
          </w:p>
        </w:tc>
        <w:tc>
          <w:tcPr>
            <w:tcW w:w="0" w:type="auto"/>
            <w:vAlign w:val="center"/>
          </w:tcPr>
          <w:p w14:paraId="487296D7" w14:textId="02A34563"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661.1</w:t>
            </w:r>
          </w:p>
        </w:tc>
        <w:tc>
          <w:tcPr>
            <w:tcW w:w="0" w:type="auto"/>
            <w:vAlign w:val="center"/>
          </w:tcPr>
          <w:p w14:paraId="6F119AA8" w14:textId="4CA9A6E1"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27.5</w:t>
            </w:r>
          </w:p>
        </w:tc>
        <w:tc>
          <w:tcPr>
            <w:tcW w:w="0" w:type="auto"/>
            <w:vAlign w:val="center"/>
          </w:tcPr>
          <w:p w14:paraId="1167218F" w14:textId="2373DD42"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4.2%</w:t>
            </w:r>
          </w:p>
        </w:tc>
      </w:tr>
      <w:tr w:rsidR="00707DC5" w14:paraId="19080999" w14:textId="77777777" w:rsidTr="00707DC5">
        <w:trPr>
          <w:jc w:val="center"/>
        </w:trPr>
        <w:tc>
          <w:tcPr>
            <w:tcW w:w="0" w:type="auto"/>
            <w:vAlign w:val="center"/>
          </w:tcPr>
          <w:p w14:paraId="762BF155" w14:textId="7E232B93" w:rsidR="00707DC5" w:rsidRPr="00707DC5" w:rsidRDefault="00933F01" w:rsidP="00707DC5">
            <w:pPr>
              <w:keepNext/>
              <w:keepLines/>
              <w:rPr>
                <w:rFonts w:ascii="Arial" w:hAnsi="Arial" w:cs="Arial"/>
                <w:sz w:val="20"/>
                <w:szCs w:val="20"/>
              </w:rPr>
            </w:pPr>
            <w:r w:rsidRPr="00933F01">
              <w:rPr>
                <w:rFonts w:ascii="Arial" w:hAnsi="Arial" w:cs="Arial"/>
                <w:i/>
                <w:sz w:val="20"/>
                <w:szCs w:val="20"/>
              </w:rPr>
              <w:t>Ex-ante</w:t>
            </w:r>
            <w:r w:rsidR="00707DC5" w:rsidRPr="00707DC5">
              <w:rPr>
                <w:rFonts w:ascii="Arial" w:hAnsi="Arial" w:cs="Arial"/>
                <w:sz w:val="20"/>
                <w:szCs w:val="20"/>
              </w:rPr>
              <w:t xml:space="preserve"> using only PY</w:t>
            </w:r>
            <w:r w:rsidR="00762732">
              <w:rPr>
                <w:rFonts w:ascii="Arial" w:hAnsi="Arial" w:cs="Arial"/>
                <w:sz w:val="20"/>
                <w:szCs w:val="20"/>
              </w:rPr>
              <w:t>20</w:t>
            </w:r>
            <w:r w:rsidR="00707DC5" w:rsidRPr="00707DC5">
              <w:rPr>
                <w:rFonts w:ascii="Arial" w:hAnsi="Arial" w:cs="Arial"/>
                <w:sz w:val="20"/>
                <w:szCs w:val="20"/>
              </w:rPr>
              <w:t>14, keep SAIDs</w:t>
            </w:r>
          </w:p>
        </w:tc>
        <w:tc>
          <w:tcPr>
            <w:tcW w:w="0" w:type="auto"/>
            <w:vAlign w:val="center"/>
          </w:tcPr>
          <w:p w14:paraId="0ED641D8" w14:textId="143701C4"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661.9</w:t>
            </w:r>
          </w:p>
        </w:tc>
        <w:tc>
          <w:tcPr>
            <w:tcW w:w="0" w:type="auto"/>
            <w:vAlign w:val="center"/>
          </w:tcPr>
          <w:p w14:paraId="4CA8A79A" w14:textId="1D4B7FA4"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26.6</w:t>
            </w:r>
          </w:p>
        </w:tc>
        <w:tc>
          <w:tcPr>
            <w:tcW w:w="0" w:type="auto"/>
            <w:vAlign w:val="center"/>
          </w:tcPr>
          <w:p w14:paraId="7D329842" w14:textId="746C7C55"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4.0%</w:t>
            </w:r>
          </w:p>
        </w:tc>
      </w:tr>
      <w:tr w:rsidR="00707DC5" w14:paraId="3763DA2A" w14:textId="77777777" w:rsidTr="00707DC5">
        <w:trPr>
          <w:jc w:val="center"/>
        </w:trPr>
        <w:tc>
          <w:tcPr>
            <w:tcW w:w="0" w:type="auto"/>
            <w:vAlign w:val="center"/>
          </w:tcPr>
          <w:p w14:paraId="64650287" w14:textId="669A8224" w:rsidR="00707DC5" w:rsidRPr="00707DC5" w:rsidRDefault="00933F01" w:rsidP="00707DC5">
            <w:pPr>
              <w:keepNext/>
              <w:keepLines/>
              <w:rPr>
                <w:rFonts w:ascii="Arial" w:hAnsi="Arial" w:cs="Arial"/>
                <w:sz w:val="20"/>
                <w:szCs w:val="20"/>
              </w:rPr>
            </w:pPr>
            <w:r w:rsidRPr="00933F01">
              <w:rPr>
                <w:rFonts w:ascii="Arial" w:hAnsi="Arial" w:cs="Arial"/>
                <w:i/>
                <w:sz w:val="20"/>
                <w:szCs w:val="20"/>
              </w:rPr>
              <w:t>Ex-post</w:t>
            </w:r>
            <w:r w:rsidR="00707DC5" w:rsidRPr="00707DC5">
              <w:rPr>
                <w:rFonts w:ascii="Arial" w:hAnsi="Arial" w:cs="Arial"/>
                <w:sz w:val="20"/>
                <w:szCs w:val="20"/>
              </w:rPr>
              <w:t xml:space="preserve"> load impact</w:t>
            </w:r>
          </w:p>
        </w:tc>
        <w:tc>
          <w:tcPr>
            <w:tcW w:w="0" w:type="auto"/>
            <w:vAlign w:val="center"/>
          </w:tcPr>
          <w:p w14:paraId="121EEDFB" w14:textId="4ACF1556"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650.5</w:t>
            </w:r>
          </w:p>
        </w:tc>
        <w:tc>
          <w:tcPr>
            <w:tcW w:w="0" w:type="auto"/>
            <w:vAlign w:val="center"/>
          </w:tcPr>
          <w:p w14:paraId="479C701A" w14:textId="05726F18"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25.0</w:t>
            </w:r>
          </w:p>
        </w:tc>
        <w:tc>
          <w:tcPr>
            <w:tcW w:w="0" w:type="auto"/>
            <w:vAlign w:val="center"/>
          </w:tcPr>
          <w:p w14:paraId="57857EF1" w14:textId="121CAB69" w:rsidR="00707DC5" w:rsidRPr="00707DC5" w:rsidRDefault="00707DC5" w:rsidP="00707DC5">
            <w:pPr>
              <w:keepNext/>
              <w:keepLines/>
              <w:jc w:val="center"/>
              <w:rPr>
                <w:rFonts w:ascii="Arial" w:hAnsi="Arial" w:cs="Arial"/>
                <w:sz w:val="20"/>
                <w:szCs w:val="20"/>
              </w:rPr>
            </w:pPr>
            <w:r w:rsidRPr="00707DC5">
              <w:rPr>
                <w:rFonts w:ascii="Arial" w:hAnsi="Arial" w:cs="Arial"/>
                <w:sz w:val="20"/>
                <w:szCs w:val="20"/>
              </w:rPr>
              <w:t>3.8%</w:t>
            </w:r>
          </w:p>
        </w:tc>
      </w:tr>
    </w:tbl>
    <w:p w14:paraId="7CBB0874" w14:textId="77777777" w:rsidR="00707DC5" w:rsidRDefault="00707DC5" w:rsidP="002B724E"/>
    <w:p w14:paraId="0C3804D4" w14:textId="77777777" w:rsidR="002B724E" w:rsidRDefault="002B724E" w:rsidP="002B724E">
      <w:pPr>
        <w:pStyle w:val="Heading2"/>
      </w:pPr>
      <w:bookmarkStart w:id="305" w:name="_Toc383597956"/>
      <w:bookmarkStart w:id="306" w:name="_Toc415761851"/>
      <w:r>
        <w:t>6.2 SCE</w:t>
      </w:r>
      <w:bookmarkEnd w:id="305"/>
      <w:bookmarkEnd w:id="306"/>
    </w:p>
    <w:p w14:paraId="5C1E0331" w14:textId="48B599DB" w:rsidR="002B724E" w:rsidRDefault="002B724E" w:rsidP="002B724E">
      <w:pPr>
        <w:pStyle w:val="Heading3"/>
      </w:pPr>
      <w:bookmarkStart w:id="307" w:name="_Toc383597957"/>
      <w:bookmarkStart w:id="308" w:name="_Toc415761852"/>
      <w:r>
        <w:t xml:space="preserve">6.2.1 Previous versus current </w:t>
      </w:r>
      <w:r w:rsidR="00933F01" w:rsidRPr="00933F01">
        <w:rPr>
          <w:i/>
        </w:rPr>
        <w:t>ex-post</w:t>
      </w:r>
      <w:bookmarkEnd w:id="307"/>
      <w:bookmarkEnd w:id="308"/>
    </w:p>
    <w:p w14:paraId="066D6843" w14:textId="78EB593D" w:rsidR="002B724E" w:rsidRDefault="002B724E" w:rsidP="002B724E">
      <w:r>
        <w:t>Table 6.</w:t>
      </w:r>
      <w:r w:rsidR="00F26572">
        <w:t>7</w:t>
      </w:r>
      <w:r>
        <w:t xml:space="preserve"> compares </w:t>
      </w:r>
      <w:r w:rsidR="00933F01" w:rsidRPr="00933F01">
        <w:rPr>
          <w:i/>
        </w:rPr>
        <w:t>ex-post</w:t>
      </w:r>
      <w:r>
        <w:t xml:space="preserve"> load impacts for the typical event day across the three most recent program years. </w:t>
      </w:r>
      <w:r w:rsidR="008D79A9">
        <w:t>SCE removed non-performing customers between PY2013 and PY2014, which reduced the total number of service accounts without removing load impacts. In addition, a number of service accounts were added (226 by our count), which added 35 MW of load impact that was not in the program during PY2013. The majority of the incremental load impact (~30 MW) comes from one service account that joined DBP in March 2014.</w:t>
      </w:r>
    </w:p>
    <w:p w14:paraId="2E4596AD" w14:textId="77777777" w:rsidR="002B724E" w:rsidRDefault="002B724E" w:rsidP="002B724E"/>
    <w:p w14:paraId="3EB23780" w14:textId="503E81AC" w:rsidR="002B724E" w:rsidRPr="00376F46" w:rsidRDefault="002B724E" w:rsidP="002B724E">
      <w:pPr>
        <w:pStyle w:val="TableCaption"/>
        <w:keepNext/>
        <w:keepLines/>
      </w:pPr>
      <w:bookmarkStart w:id="309" w:name="_Toc383598020"/>
      <w:bookmarkStart w:id="310" w:name="_Toc415761900"/>
      <w:r w:rsidRPr="00376F46">
        <w:t xml:space="preserve">Table </w:t>
      </w:r>
      <w:r>
        <w:t>6</w:t>
      </w:r>
      <w:r w:rsidRPr="00376F46">
        <w:t>.</w:t>
      </w:r>
      <w:r w:rsidR="00F26572">
        <w:t>7</w:t>
      </w:r>
      <w:r w:rsidRPr="00376F46">
        <w:t xml:space="preserve"> Comparison of </w:t>
      </w:r>
      <w:r>
        <w:t xml:space="preserve">Average Event-day </w:t>
      </w:r>
      <w:r w:rsidR="00933F01" w:rsidRPr="00933F01">
        <w:rPr>
          <w:i/>
        </w:rPr>
        <w:t>Ex-post</w:t>
      </w:r>
      <w:r>
        <w:t xml:space="preserve"> </w:t>
      </w:r>
      <w:r w:rsidRPr="00376F46">
        <w:t>Impacts (in MW) in PY 201</w:t>
      </w:r>
      <w:r w:rsidR="00A86354">
        <w:t>2</w:t>
      </w:r>
      <w:r w:rsidRPr="00376F46">
        <w:t xml:space="preserve"> </w:t>
      </w:r>
      <w:r>
        <w:t xml:space="preserve">through </w:t>
      </w:r>
      <w:r w:rsidRPr="00376F46">
        <w:t>PY 201</w:t>
      </w:r>
      <w:r w:rsidR="00A86354">
        <w:t>4</w:t>
      </w:r>
      <w:r w:rsidRPr="00376F46">
        <w:t xml:space="preserve">, </w:t>
      </w:r>
      <w:r>
        <w:rPr>
          <w:i/>
        </w:rPr>
        <w:t>SC</w:t>
      </w:r>
      <w:r w:rsidRPr="00376F46">
        <w:rPr>
          <w:i/>
        </w:rPr>
        <w:t>E</w:t>
      </w:r>
      <w:bookmarkEnd w:id="309"/>
      <w:bookmarkEnd w:id="3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948"/>
        <w:gridCol w:w="1726"/>
        <w:gridCol w:w="1726"/>
        <w:gridCol w:w="1727"/>
      </w:tblGrid>
      <w:tr w:rsidR="002B724E" w14:paraId="3AC08AB7" w14:textId="77777777" w:rsidTr="00512433">
        <w:tc>
          <w:tcPr>
            <w:tcW w:w="1503" w:type="dxa"/>
            <w:shd w:val="clear" w:color="auto" w:fill="D9E2F3"/>
            <w:vAlign w:val="center"/>
          </w:tcPr>
          <w:p w14:paraId="5607FC5F"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Level</w:t>
            </w:r>
          </w:p>
        </w:tc>
        <w:tc>
          <w:tcPr>
            <w:tcW w:w="1948" w:type="dxa"/>
            <w:shd w:val="clear" w:color="auto" w:fill="D9E2F3"/>
            <w:vAlign w:val="center"/>
          </w:tcPr>
          <w:p w14:paraId="0B699E4F"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1726" w:type="dxa"/>
            <w:shd w:val="clear" w:color="auto" w:fill="D9E2F3"/>
            <w:vAlign w:val="center"/>
          </w:tcPr>
          <w:p w14:paraId="6DEAEF59" w14:textId="77777777" w:rsidR="002B724E" w:rsidRPr="009C75E1" w:rsidRDefault="002B724E" w:rsidP="00512433">
            <w:pPr>
              <w:keepNext/>
              <w:keepLines/>
              <w:jc w:val="center"/>
              <w:rPr>
                <w:rFonts w:ascii="Arial" w:hAnsi="Arial" w:cs="Arial"/>
                <w:b/>
                <w:sz w:val="20"/>
                <w:szCs w:val="20"/>
              </w:rPr>
            </w:pPr>
          </w:p>
          <w:p w14:paraId="68ED2171" w14:textId="19BDD395" w:rsidR="002B724E" w:rsidRPr="009C75E1" w:rsidRDefault="00512433" w:rsidP="00512433">
            <w:pPr>
              <w:keepNext/>
              <w:keepLines/>
              <w:jc w:val="center"/>
              <w:rPr>
                <w:rFonts w:ascii="Arial" w:hAnsi="Arial" w:cs="Arial"/>
                <w:b/>
                <w:sz w:val="20"/>
                <w:szCs w:val="20"/>
              </w:rPr>
            </w:pPr>
            <w:r>
              <w:rPr>
                <w:rFonts w:ascii="Arial" w:hAnsi="Arial" w:cs="Arial"/>
                <w:b/>
                <w:sz w:val="20"/>
                <w:szCs w:val="20"/>
              </w:rPr>
              <w:t>PY2012</w:t>
            </w:r>
          </w:p>
          <w:p w14:paraId="6C28CC7B" w14:textId="77777777" w:rsidR="002B724E" w:rsidRPr="009C75E1" w:rsidRDefault="002B724E" w:rsidP="00512433">
            <w:pPr>
              <w:keepNext/>
              <w:keepLines/>
              <w:jc w:val="center"/>
              <w:rPr>
                <w:rFonts w:ascii="Arial" w:hAnsi="Arial" w:cs="Arial"/>
                <w:b/>
                <w:sz w:val="20"/>
                <w:szCs w:val="20"/>
              </w:rPr>
            </w:pPr>
          </w:p>
        </w:tc>
        <w:tc>
          <w:tcPr>
            <w:tcW w:w="1726" w:type="dxa"/>
            <w:shd w:val="clear" w:color="auto" w:fill="D9E2F3"/>
            <w:vAlign w:val="center"/>
          </w:tcPr>
          <w:p w14:paraId="7439821E" w14:textId="0EAEEBC9" w:rsidR="002B724E" w:rsidRPr="009C75E1" w:rsidRDefault="00512433" w:rsidP="00512433">
            <w:pPr>
              <w:keepNext/>
              <w:keepLines/>
              <w:jc w:val="center"/>
              <w:rPr>
                <w:rFonts w:ascii="Arial" w:hAnsi="Arial" w:cs="Arial"/>
                <w:b/>
                <w:sz w:val="20"/>
                <w:szCs w:val="20"/>
              </w:rPr>
            </w:pPr>
            <w:r>
              <w:rPr>
                <w:rFonts w:ascii="Arial" w:hAnsi="Arial" w:cs="Arial"/>
                <w:b/>
                <w:sz w:val="20"/>
                <w:szCs w:val="20"/>
              </w:rPr>
              <w:t>PY2013</w:t>
            </w:r>
          </w:p>
        </w:tc>
        <w:tc>
          <w:tcPr>
            <w:tcW w:w="1727" w:type="dxa"/>
            <w:shd w:val="clear" w:color="auto" w:fill="D9E2F3"/>
            <w:vAlign w:val="center"/>
          </w:tcPr>
          <w:p w14:paraId="5D41A76B" w14:textId="54C3C5E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PY201</w:t>
            </w:r>
            <w:r w:rsidR="00512433">
              <w:rPr>
                <w:rFonts w:ascii="Arial" w:hAnsi="Arial" w:cs="Arial"/>
                <w:b/>
                <w:sz w:val="20"/>
                <w:szCs w:val="20"/>
              </w:rPr>
              <w:t>4</w:t>
            </w:r>
          </w:p>
        </w:tc>
      </w:tr>
      <w:tr w:rsidR="00512433" w14:paraId="4814B8D7" w14:textId="77777777" w:rsidTr="00512433">
        <w:tc>
          <w:tcPr>
            <w:tcW w:w="1503" w:type="dxa"/>
            <w:vMerge w:val="restart"/>
            <w:shd w:val="clear" w:color="auto" w:fill="auto"/>
            <w:vAlign w:val="center"/>
          </w:tcPr>
          <w:p w14:paraId="079655F7" w14:textId="77777777" w:rsidR="00512433" w:rsidRPr="009C75E1" w:rsidRDefault="00512433" w:rsidP="00512433">
            <w:pPr>
              <w:keepNext/>
              <w:keepLines/>
              <w:rPr>
                <w:rFonts w:ascii="Arial" w:hAnsi="Arial" w:cs="Arial"/>
                <w:b/>
                <w:sz w:val="20"/>
                <w:szCs w:val="20"/>
              </w:rPr>
            </w:pPr>
            <w:r w:rsidRPr="009C75E1">
              <w:rPr>
                <w:rFonts w:ascii="Arial" w:hAnsi="Arial" w:cs="Arial"/>
                <w:b/>
                <w:sz w:val="20"/>
                <w:szCs w:val="20"/>
              </w:rPr>
              <w:t>Total</w:t>
            </w:r>
          </w:p>
        </w:tc>
        <w:tc>
          <w:tcPr>
            <w:tcW w:w="1948" w:type="dxa"/>
            <w:shd w:val="clear" w:color="auto" w:fill="auto"/>
          </w:tcPr>
          <w:p w14:paraId="2D6CA326" w14:textId="77777777" w:rsidR="00512433" w:rsidRPr="009C75E1" w:rsidRDefault="00512433" w:rsidP="00512433">
            <w:pPr>
              <w:keepNext/>
              <w:keepLines/>
              <w:rPr>
                <w:rFonts w:ascii="Arial" w:hAnsi="Arial" w:cs="Arial"/>
                <w:sz w:val="20"/>
                <w:szCs w:val="20"/>
              </w:rPr>
            </w:pPr>
            <w:r w:rsidRPr="009C75E1">
              <w:rPr>
                <w:rFonts w:ascii="Arial" w:hAnsi="Arial" w:cs="Arial"/>
                <w:sz w:val="20"/>
                <w:szCs w:val="20"/>
              </w:rPr>
              <w:t># SAIDs</w:t>
            </w:r>
          </w:p>
        </w:tc>
        <w:tc>
          <w:tcPr>
            <w:tcW w:w="1726" w:type="dxa"/>
            <w:shd w:val="clear" w:color="auto" w:fill="auto"/>
          </w:tcPr>
          <w:p w14:paraId="3BBBA80B" w14:textId="77DBEED9" w:rsidR="00512433" w:rsidRPr="009C75E1" w:rsidRDefault="00512433" w:rsidP="00512433">
            <w:pPr>
              <w:keepNext/>
              <w:keepLines/>
              <w:jc w:val="center"/>
              <w:rPr>
                <w:rFonts w:ascii="Arial" w:hAnsi="Arial" w:cs="Arial"/>
                <w:sz w:val="20"/>
                <w:szCs w:val="20"/>
              </w:rPr>
            </w:pPr>
            <w:r w:rsidRPr="009C75E1">
              <w:rPr>
                <w:rFonts w:ascii="Arial" w:hAnsi="Arial" w:cs="Arial"/>
                <w:sz w:val="20"/>
                <w:szCs w:val="20"/>
              </w:rPr>
              <w:t>1,369</w:t>
            </w:r>
          </w:p>
        </w:tc>
        <w:tc>
          <w:tcPr>
            <w:tcW w:w="1726" w:type="dxa"/>
            <w:shd w:val="clear" w:color="auto" w:fill="auto"/>
          </w:tcPr>
          <w:p w14:paraId="292A9387" w14:textId="48CF6564" w:rsidR="00512433" w:rsidRPr="009C75E1" w:rsidRDefault="00512433" w:rsidP="00512433">
            <w:pPr>
              <w:keepNext/>
              <w:keepLines/>
              <w:jc w:val="center"/>
              <w:rPr>
                <w:rFonts w:ascii="Arial" w:hAnsi="Arial" w:cs="Arial"/>
                <w:sz w:val="20"/>
                <w:szCs w:val="20"/>
              </w:rPr>
            </w:pPr>
            <w:r>
              <w:rPr>
                <w:rFonts w:ascii="Arial" w:hAnsi="Arial" w:cs="Arial"/>
                <w:sz w:val="20"/>
                <w:szCs w:val="20"/>
              </w:rPr>
              <w:t>1,312</w:t>
            </w:r>
          </w:p>
        </w:tc>
        <w:tc>
          <w:tcPr>
            <w:tcW w:w="1727" w:type="dxa"/>
            <w:shd w:val="clear" w:color="auto" w:fill="auto"/>
          </w:tcPr>
          <w:p w14:paraId="616A5A3D" w14:textId="22640108" w:rsidR="00512433" w:rsidRPr="009C75E1" w:rsidRDefault="00512433" w:rsidP="00512433">
            <w:pPr>
              <w:keepNext/>
              <w:keepLines/>
              <w:jc w:val="center"/>
              <w:rPr>
                <w:rFonts w:ascii="Arial" w:hAnsi="Arial" w:cs="Arial"/>
                <w:sz w:val="20"/>
                <w:szCs w:val="20"/>
              </w:rPr>
            </w:pPr>
            <w:r>
              <w:rPr>
                <w:rFonts w:ascii="Arial" w:hAnsi="Arial" w:cs="Arial"/>
                <w:sz w:val="20"/>
                <w:szCs w:val="20"/>
              </w:rPr>
              <w:t>944</w:t>
            </w:r>
          </w:p>
        </w:tc>
      </w:tr>
      <w:tr w:rsidR="00512433" w14:paraId="306BAA58" w14:textId="77777777" w:rsidTr="00512433">
        <w:trPr>
          <w:trHeight w:val="242"/>
        </w:trPr>
        <w:tc>
          <w:tcPr>
            <w:tcW w:w="1503" w:type="dxa"/>
            <w:vMerge/>
            <w:shd w:val="clear" w:color="auto" w:fill="auto"/>
            <w:vAlign w:val="center"/>
          </w:tcPr>
          <w:p w14:paraId="5E03F269" w14:textId="77777777" w:rsidR="00512433" w:rsidRPr="009C75E1" w:rsidRDefault="00512433" w:rsidP="00512433">
            <w:pPr>
              <w:keepNext/>
              <w:keepLines/>
              <w:rPr>
                <w:rFonts w:ascii="Arial" w:hAnsi="Arial" w:cs="Arial"/>
                <w:sz w:val="20"/>
                <w:szCs w:val="20"/>
              </w:rPr>
            </w:pPr>
          </w:p>
        </w:tc>
        <w:tc>
          <w:tcPr>
            <w:tcW w:w="1948" w:type="dxa"/>
            <w:shd w:val="clear" w:color="auto" w:fill="auto"/>
          </w:tcPr>
          <w:p w14:paraId="58778BF9" w14:textId="77777777" w:rsidR="00512433" w:rsidRPr="009C75E1" w:rsidRDefault="00512433" w:rsidP="00512433">
            <w:pPr>
              <w:keepNext/>
              <w:keepLines/>
              <w:rPr>
                <w:rFonts w:ascii="Arial" w:hAnsi="Arial" w:cs="Arial"/>
                <w:sz w:val="20"/>
                <w:szCs w:val="20"/>
              </w:rPr>
            </w:pPr>
            <w:r w:rsidRPr="009C75E1">
              <w:rPr>
                <w:rFonts w:ascii="Arial" w:hAnsi="Arial" w:cs="Arial"/>
                <w:sz w:val="20"/>
                <w:szCs w:val="20"/>
              </w:rPr>
              <w:t>Reference (MW)</w:t>
            </w:r>
          </w:p>
        </w:tc>
        <w:tc>
          <w:tcPr>
            <w:tcW w:w="1726" w:type="dxa"/>
            <w:shd w:val="clear" w:color="auto" w:fill="auto"/>
          </w:tcPr>
          <w:p w14:paraId="7D41A386" w14:textId="46BC90FB" w:rsidR="00512433" w:rsidRPr="009C75E1" w:rsidRDefault="00512433" w:rsidP="00512433">
            <w:pPr>
              <w:keepNext/>
              <w:keepLines/>
              <w:jc w:val="center"/>
              <w:rPr>
                <w:rFonts w:ascii="Arial" w:hAnsi="Arial" w:cs="Arial"/>
                <w:sz w:val="20"/>
                <w:szCs w:val="20"/>
              </w:rPr>
            </w:pPr>
            <w:r w:rsidRPr="009C75E1">
              <w:rPr>
                <w:rFonts w:ascii="Arial" w:hAnsi="Arial" w:cs="Arial"/>
                <w:sz w:val="20"/>
                <w:szCs w:val="20"/>
              </w:rPr>
              <w:t>1,027</w:t>
            </w:r>
          </w:p>
        </w:tc>
        <w:tc>
          <w:tcPr>
            <w:tcW w:w="1726" w:type="dxa"/>
            <w:shd w:val="clear" w:color="auto" w:fill="auto"/>
          </w:tcPr>
          <w:p w14:paraId="5A2B443D" w14:textId="37A941D2" w:rsidR="00512433" w:rsidRPr="009C75E1" w:rsidRDefault="00512433" w:rsidP="00512433">
            <w:pPr>
              <w:keepNext/>
              <w:keepLines/>
              <w:jc w:val="center"/>
              <w:rPr>
                <w:rFonts w:ascii="Arial" w:hAnsi="Arial" w:cs="Arial"/>
                <w:sz w:val="20"/>
                <w:szCs w:val="20"/>
              </w:rPr>
            </w:pPr>
            <w:r>
              <w:rPr>
                <w:rFonts w:ascii="Arial" w:hAnsi="Arial" w:cs="Arial"/>
                <w:sz w:val="20"/>
                <w:szCs w:val="20"/>
              </w:rPr>
              <w:t>994</w:t>
            </w:r>
          </w:p>
        </w:tc>
        <w:tc>
          <w:tcPr>
            <w:tcW w:w="1727" w:type="dxa"/>
            <w:shd w:val="clear" w:color="auto" w:fill="auto"/>
          </w:tcPr>
          <w:p w14:paraId="48E5BC0A" w14:textId="71886266" w:rsidR="00512433" w:rsidRPr="009C75E1" w:rsidRDefault="00512433" w:rsidP="00512433">
            <w:pPr>
              <w:keepNext/>
              <w:keepLines/>
              <w:jc w:val="center"/>
              <w:rPr>
                <w:rFonts w:ascii="Arial" w:hAnsi="Arial" w:cs="Arial"/>
                <w:sz w:val="20"/>
                <w:szCs w:val="20"/>
              </w:rPr>
            </w:pPr>
            <w:r>
              <w:rPr>
                <w:rFonts w:ascii="Arial" w:hAnsi="Arial" w:cs="Arial"/>
                <w:sz w:val="20"/>
                <w:szCs w:val="20"/>
              </w:rPr>
              <w:t>814</w:t>
            </w:r>
          </w:p>
        </w:tc>
      </w:tr>
      <w:tr w:rsidR="00512433" w14:paraId="00EA4B1B" w14:textId="77777777" w:rsidTr="00512433">
        <w:tc>
          <w:tcPr>
            <w:tcW w:w="1503" w:type="dxa"/>
            <w:vMerge/>
            <w:shd w:val="clear" w:color="auto" w:fill="auto"/>
            <w:vAlign w:val="center"/>
          </w:tcPr>
          <w:p w14:paraId="2D72BC39" w14:textId="77777777" w:rsidR="00512433" w:rsidRPr="009C75E1" w:rsidRDefault="00512433" w:rsidP="00512433">
            <w:pPr>
              <w:keepNext/>
              <w:keepLines/>
              <w:rPr>
                <w:rFonts w:ascii="Arial" w:hAnsi="Arial" w:cs="Arial"/>
                <w:sz w:val="20"/>
                <w:szCs w:val="20"/>
              </w:rPr>
            </w:pPr>
          </w:p>
        </w:tc>
        <w:tc>
          <w:tcPr>
            <w:tcW w:w="1948" w:type="dxa"/>
            <w:shd w:val="clear" w:color="auto" w:fill="auto"/>
          </w:tcPr>
          <w:p w14:paraId="25ABB0C6" w14:textId="77777777" w:rsidR="00512433" w:rsidRPr="009C75E1" w:rsidRDefault="00512433" w:rsidP="00512433">
            <w:pPr>
              <w:keepNext/>
              <w:keepLines/>
              <w:rPr>
                <w:rFonts w:ascii="Arial" w:hAnsi="Arial" w:cs="Arial"/>
                <w:sz w:val="20"/>
                <w:szCs w:val="20"/>
              </w:rPr>
            </w:pPr>
            <w:r w:rsidRPr="009C75E1">
              <w:rPr>
                <w:rFonts w:ascii="Arial" w:hAnsi="Arial" w:cs="Arial"/>
                <w:sz w:val="20"/>
                <w:szCs w:val="20"/>
              </w:rPr>
              <w:t>Load Impact (MW)</w:t>
            </w:r>
          </w:p>
        </w:tc>
        <w:tc>
          <w:tcPr>
            <w:tcW w:w="1726" w:type="dxa"/>
            <w:shd w:val="clear" w:color="auto" w:fill="auto"/>
          </w:tcPr>
          <w:p w14:paraId="46A95C25" w14:textId="2C838AAB" w:rsidR="00512433" w:rsidRPr="009C75E1" w:rsidRDefault="00512433" w:rsidP="00512433">
            <w:pPr>
              <w:keepNext/>
              <w:keepLines/>
              <w:jc w:val="center"/>
              <w:rPr>
                <w:rFonts w:ascii="Arial" w:hAnsi="Arial" w:cs="Arial"/>
                <w:sz w:val="20"/>
                <w:szCs w:val="20"/>
              </w:rPr>
            </w:pPr>
            <w:r w:rsidRPr="009C75E1">
              <w:rPr>
                <w:rFonts w:ascii="Arial" w:hAnsi="Arial" w:cs="Arial"/>
                <w:sz w:val="20"/>
                <w:szCs w:val="20"/>
              </w:rPr>
              <w:t>83</w:t>
            </w:r>
          </w:p>
        </w:tc>
        <w:tc>
          <w:tcPr>
            <w:tcW w:w="1726" w:type="dxa"/>
            <w:shd w:val="clear" w:color="auto" w:fill="auto"/>
          </w:tcPr>
          <w:p w14:paraId="6A40C477" w14:textId="376C28D3" w:rsidR="00512433" w:rsidRPr="009C75E1" w:rsidRDefault="00512433" w:rsidP="00512433">
            <w:pPr>
              <w:keepNext/>
              <w:keepLines/>
              <w:jc w:val="center"/>
              <w:rPr>
                <w:rFonts w:ascii="Arial" w:hAnsi="Arial" w:cs="Arial"/>
                <w:sz w:val="20"/>
                <w:szCs w:val="20"/>
              </w:rPr>
            </w:pPr>
            <w:r>
              <w:rPr>
                <w:rFonts w:ascii="Arial" w:hAnsi="Arial" w:cs="Arial"/>
                <w:sz w:val="20"/>
                <w:szCs w:val="20"/>
              </w:rPr>
              <w:t>99</w:t>
            </w:r>
          </w:p>
        </w:tc>
        <w:tc>
          <w:tcPr>
            <w:tcW w:w="1727" w:type="dxa"/>
            <w:shd w:val="clear" w:color="auto" w:fill="auto"/>
          </w:tcPr>
          <w:p w14:paraId="51BDFEF1" w14:textId="1833E2BC" w:rsidR="00512433" w:rsidRPr="009C75E1" w:rsidRDefault="00512433" w:rsidP="00512433">
            <w:pPr>
              <w:keepNext/>
              <w:keepLines/>
              <w:jc w:val="center"/>
              <w:rPr>
                <w:rFonts w:ascii="Arial" w:hAnsi="Arial" w:cs="Arial"/>
                <w:sz w:val="20"/>
                <w:szCs w:val="20"/>
              </w:rPr>
            </w:pPr>
            <w:r>
              <w:rPr>
                <w:rFonts w:ascii="Arial" w:hAnsi="Arial" w:cs="Arial"/>
                <w:sz w:val="20"/>
                <w:szCs w:val="20"/>
              </w:rPr>
              <w:t>107</w:t>
            </w:r>
          </w:p>
        </w:tc>
      </w:tr>
      <w:tr w:rsidR="00512433" w14:paraId="1DFC722C" w14:textId="77777777" w:rsidTr="00512433">
        <w:tc>
          <w:tcPr>
            <w:tcW w:w="1503" w:type="dxa"/>
            <w:vMerge w:val="restart"/>
            <w:shd w:val="clear" w:color="auto" w:fill="auto"/>
            <w:vAlign w:val="center"/>
          </w:tcPr>
          <w:p w14:paraId="374FFF56" w14:textId="77777777" w:rsidR="00512433" w:rsidRPr="009C75E1" w:rsidRDefault="00512433" w:rsidP="00512433">
            <w:pPr>
              <w:keepNext/>
              <w:keepLines/>
              <w:rPr>
                <w:rFonts w:ascii="Arial" w:hAnsi="Arial" w:cs="Arial"/>
                <w:b/>
                <w:sz w:val="20"/>
                <w:szCs w:val="20"/>
              </w:rPr>
            </w:pPr>
            <w:r w:rsidRPr="009C75E1">
              <w:rPr>
                <w:rFonts w:ascii="Arial" w:hAnsi="Arial" w:cs="Arial"/>
                <w:b/>
                <w:sz w:val="20"/>
                <w:szCs w:val="20"/>
              </w:rPr>
              <w:t>Per SAID</w:t>
            </w:r>
          </w:p>
        </w:tc>
        <w:tc>
          <w:tcPr>
            <w:tcW w:w="1948" w:type="dxa"/>
            <w:shd w:val="clear" w:color="auto" w:fill="auto"/>
          </w:tcPr>
          <w:p w14:paraId="13034663" w14:textId="77777777" w:rsidR="00512433" w:rsidRPr="009C75E1" w:rsidRDefault="00512433" w:rsidP="00512433">
            <w:pPr>
              <w:keepNext/>
              <w:keepLines/>
              <w:rPr>
                <w:rFonts w:ascii="Arial" w:hAnsi="Arial" w:cs="Arial"/>
                <w:sz w:val="20"/>
                <w:szCs w:val="20"/>
              </w:rPr>
            </w:pPr>
            <w:r w:rsidRPr="009C75E1">
              <w:rPr>
                <w:rFonts w:ascii="Arial" w:hAnsi="Arial" w:cs="Arial"/>
                <w:sz w:val="20"/>
                <w:szCs w:val="20"/>
              </w:rPr>
              <w:t>Reference (kW)</w:t>
            </w:r>
          </w:p>
        </w:tc>
        <w:tc>
          <w:tcPr>
            <w:tcW w:w="1726" w:type="dxa"/>
            <w:shd w:val="clear" w:color="auto" w:fill="auto"/>
          </w:tcPr>
          <w:p w14:paraId="7FAFEF1F" w14:textId="33B864A3" w:rsidR="00512433" w:rsidRPr="009C75E1" w:rsidRDefault="00512433" w:rsidP="00512433">
            <w:pPr>
              <w:keepNext/>
              <w:keepLines/>
              <w:jc w:val="center"/>
              <w:rPr>
                <w:rFonts w:ascii="Arial" w:hAnsi="Arial" w:cs="Arial"/>
                <w:sz w:val="20"/>
                <w:szCs w:val="20"/>
              </w:rPr>
            </w:pPr>
            <w:r w:rsidRPr="009C75E1">
              <w:rPr>
                <w:rFonts w:ascii="Arial" w:hAnsi="Arial" w:cs="Arial"/>
                <w:sz w:val="20"/>
                <w:szCs w:val="20"/>
              </w:rPr>
              <w:t>751</w:t>
            </w:r>
          </w:p>
        </w:tc>
        <w:tc>
          <w:tcPr>
            <w:tcW w:w="1726" w:type="dxa"/>
            <w:shd w:val="clear" w:color="auto" w:fill="auto"/>
          </w:tcPr>
          <w:p w14:paraId="1B756A15" w14:textId="46A514D0" w:rsidR="00512433" w:rsidRPr="009C75E1" w:rsidRDefault="00512433" w:rsidP="00512433">
            <w:pPr>
              <w:keepNext/>
              <w:keepLines/>
              <w:jc w:val="center"/>
              <w:rPr>
                <w:rFonts w:ascii="Arial" w:hAnsi="Arial" w:cs="Arial"/>
                <w:sz w:val="20"/>
                <w:szCs w:val="20"/>
              </w:rPr>
            </w:pPr>
            <w:r>
              <w:rPr>
                <w:rFonts w:ascii="Arial" w:hAnsi="Arial" w:cs="Arial"/>
                <w:sz w:val="20"/>
                <w:szCs w:val="20"/>
              </w:rPr>
              <w:t>758</w:t>
            </w:r>
          </w:p>
        </w:tc>
        <w:tc>
          <w:tcPr>
            <w:tcW w:w="1727" w:type="dxa"/>
            <w:shd w:val="clear" w:color="auto" w:fill="auto"/>
          </w:tcPr>
          <w:p w14:paraId="027357D0" w14:textId="290C0A79" w:rsidR="00512433" w:rsidRPr="009C75E1" w:rsidRDefault="008D79A9" w:rsidP="00512433">
            <w:pPr>
              <w:keepNext/>
              <w:keepLines/>
              <w:jc w:val="center"/>
              <w:rPr>
                <w:rFonts w:ascii="Arial" w:hAnsi="Arial" w:cs="Arial"/>
                <w:sz w:val="20"/>
                <w:szCs w:val="20"/>
              </w:rPr>
            </w:pPr>
            <w:r>
              <w:rPr>
                <w:rFonts w:ascii="Arial" w:hAnsi="Arial" w:cs="Arial"/>
                <w:sz w:val="20"/>
                <w:szCs w:val="20"/>
              </w:rPr>
              <w:t>862</w:t>
            </w:r>
          </w:p>
        </w:tc>
      </w:tr>
      <w:tr w:rsidR="00512433" w14:paraId="1680D991" w14:textId="77777777" w:rsidTr="00512433">
        <w:tc>
          <w:tcPr>
            <w:tcW w:w="1503" w:type="dxa"/>
            <w:vMerge/>
            <w:shd w:val="clear" w:color="auto" w:fill="auto"/>
          </w:tcPr>
          <w:p w14:paraId="78B4D0E2" w14:textId="77777777" w:rsidR="00512433" w:rsidRPr="009C75E1" w:rsidRDefault="00512433" w:rsidP="00512433">
            <w:pPr>
              <w:keepNext/>
              <w:keepLines/>
              <w:rPr>
                <w:rFonts w:ascii="Arial" w:hAnsi="Arial" w:cs="Arial"/>
                <w:sz w:val="20"/>
                <w:szCs w:val="20"/>
              </w:rPr>
            </w:pPr>
          </w:p>
        </w:tc>
        <w:tc>
          <w:tcPr>
            <w:tcW w:w="1948" w:type="dxa"/>
            <w:shd w:val="clear" w:color="auto" w:fill="auto"/>
          </w:tcPr>
          <w:p w14:paraId="4BBE6935" w14:textId="77777777" w:rsidR="00512433" w:rsidRPr="009C75E1" w:rsidRDefault="00512433" w:rsidP="00512433">
            <w:pPr>
              <w:keepNext/>
              <w:keepLines/>
              <w:rPr>
                <w:rFonts w:ascii="Arial" w:hAnsi="Arial" w:cs="Arial"/>
                <w:sz w:val="20"/>
                <w:szCs w:val="20"/>
              </w:rPr>
            </w:pPr>
            <w:r w:rsidRPr="009C75E1">
              <w:rPr>
                <w:rFonts w:ascii="Arial" w:hAnsi="Arial" w:cs="Arial"/>
                <w:sz w:val="20"/>
                <w:szCs w:val="20"/>
              </w:rPr>
              <w:t>Load Impact (kW)</w:t>
            </w:r>
          </w:p>
        </w:tc>
        <w:tc>
          <w:tcPr>
            <w:tcW w:w="1726" w:type="dxa"/>
            <w:shd w:val="clear" w:color="auto" w:fill="auto"/>
          </w:tcPr>
          <w:p w14:paraId="62D700E0" w14:textId="56AD7D10" w:rsidR="00512433" w:rsidRPr="009C75E1" w:rsidRDefault="00512433" w:rsidP="00512433">
            <w:pPr>
              <w:keepNext/>
              <w:keepLines/>
              <w:jc w:val="center"/>
              <w:rPr>
                <w:rFonts w:ascii="Arial" w:hAnsi="Arial" w:cs="Arial"/>
                <w:sz w:val="20"/>
                <w:szCs w:val="20"/>
              </w:rPr>
            </w:pPr>
            <w:r w:rsidRPr="009C75E1">
              <w:rPr>
                <w:rFonts w:ascii="Arial" w:hAnsi="Arial" w:cs="Arial"/>
                <w:sz w:val="20"/>
                <w:szCs w:val="20"/>
              </w:rPr>
              <w:t>60</w:t>
            </w:r>
          </w:p>
        </w:tc>
        <w:tc>
          <w:tcPr>
            <w:tcW w:w="1726" w:type="dxa"/>
            <w:shd w:val="clear" w:color="auto" w:fill="auto"/>
          </w:tcPr>
          <w:p w14:paraId="6D497D6B" w14:textId="4483D9BF" w:rsidR="00512433" w:rsidRPr="009C75E1" w:rsidRDefault="00512433" w:rsidP="00512433">
            <w:pPr>
              <w:keepNext/>
              <w:keepLines/>
              <w:jc w:val="center"/>
              <w:rPr>
                <w:rFonts w:ascii="Arial" w:hAnsi="Arial" w:cs="Arial"/>
                <w:sz w:val="20"/>
                <w:szCs w:val="20"/>
              </w:rPr>
            </w:pPr>
            <w:r>
              <w:rPr>
                <w:rFonts w:ascii="Arial" w:hAnsi="Arial" w:cs="Arial"/>
                <w:sz w:val="20"/>
                <w:szCs w:val="20"/>
              </w:rPr>
              <w:t>76</w:t>
            </w:r>
          </w:p>
        </w:tc>
        <w:tc>
          <w:tcPr>
            <w:tcW w:w="1727" w:type="dxa"/>
            <w:shd w:val="clear" w:color="auto" w:fill="auto"/>
          </w:tcPr>
          <w:p w14:paraId="375D6F3A" w14:textId="4DFA8212" w:rsidR="00512433" w:rsidRPr="009C75E1" w:rsidRDefault="008D79A9" w:rsidP="00512433">
            <w:pPr>
              <w:keepNext/>
              <w:keepLines/>
              <w:jc w:val="center"/>
              <w:rPr>
                <w:rFonts w:ascii="Arial" w:hAnsi="Arial" w:cs="Arial"/>
                <w:sz w:val="20"/>
                <w:szCs w:val="20"/>
              </w:rPr>
            </w:pPr>
            <w:r>
              <w:rPr>
                <w:rFonts w:ascii="Arial" w:hAnsi="Arial" w:cs="Arial"/>
                <w:sz w:val="20"/>
                <w:szCs w:val="20"/>
              </w:rPr>
              <w:t>113</w:t>
            </w:r>
          </w:p>
        </w:tc>
      </w:tr>
      <w:tr w:rsidR="00512433" w14:paraId="260F7B0B" w14:textId="77777777" w:rsidTr="00512433">
        <w:tc>
          <w:tcPr>
            <w:tcW w:w="1503" w:type="dxa"/>
            <w:vMerge/>
            <w:shd w:val="clear" w:color="auto" w:fill="auto"/>
          </w:tcPr>
          <w:p w14:paraId="68274CD1" w14:textId="77777777" w:rsidR="00512433" w:rsidRPr="009C75E1" w:rsidRDefault="00512433" w:rsidP="00512433">
            <w:pPr>
              <w:keepNext/>
              <w:keepLines/>
              <w:rPr>
                <w:rFonts w:ascii="Arial" w:hAnsi="Arial" w:cs="Arial"/>
                <w:sz w:val="20"/>
                <w:szCs w:val="20"/>
              </w:rPr>
            </w:pPr>
          </w:p>
        </w:tc>
        <w:tc>
          <w:tcPr>
            <w:tcW w:w="1948" w:type="dxa"/>
            <w:shd w:val="clear" w:color="auto" w:fill="auto"/>
          </w:tcPr>
          <w:p w14:paraId="46BAD028" w14:textId="77777777" w:rsidR="00512433" w:rsidRPr="009C75E1" w:rsidRDefault="00512433" w:rsidP="00512433">
            <w:pPr>
              <w:keepNext/>
              <w:keepLines/>
              <w:rPr>
                <w:rFonts w:ascii="Arial" w:hAnsi="Arial" w:cs="Arial"/>
                <w:sz w:val="20"/>
                <w:szCs w:val="20"/>
              </w:rPr>
            </w:pPr>
            <w:r w:rsidRPr="009C75E1">
              <w:rPr>
                <w:rFonts w:ascii="Arial" w:hAnsi="Arial" w:cs="Arial"/>
                <w:sz w:val="20"/>
                <w:szCs w:val="20"/>
              </w:rPr>
              <w:t>% Load Impact</w:t>
            </w:r>
          </w:p>
        </w:tc>
        <w:tc>
          <w:tcPr>
            <w:tcW w:w="1726" w:type="dxa"/>
            <w:shd w:val="clear" w:color="auto" w:fill="auto"/>
          </w:tcPr>
          <w:p w14:paraId="07D06D65" w14:textId="1B58AB85" w:rsidR="00512433" w:rsidRPr="009C75E1" w:rsidRDefault="00512433" w:rsidP="00512433">
            <w:pPr>
              <w:keepNext/>
              <w:keepLines/>
              <w:jc w:val="center"/>
              <w:rPr>
                <w:rFonts w:ascii="Arial" w:hAnsi="Arial" w:cs="Arial"/>
                <w:sz w:val="20"/>
                <w:szCs w:val="20"/>
              </w:rPr>
            </w:pPr>
            <w:r w:rsidRPr="009C75E1">
              <w:rPr>
                <w:rFonts w:ascii="Arial" w:hAnsi="Arial" w:cs="Arial"/>
                <w:sz w:val="20"/>
                <w:szCs w:val="20"/>
              </w:rPr>
              <w:t>8.1%</w:t>
            </w:r>
          </w:p>
        </w:tc>
        <w:tc>
          <w:tcPr>
            <w:tcW w:w="1726" w:type="dxa"/>
            <w:shd w:val="clear" w:color="auto" w:fill="auto"/>
          </w:tcPr>
          <w:p w14:paraId="62016D84" w14:textId="2CA883CB" w:rsidR="00512433" w:rsidRPr="009C75E1" w:rsidRDefault="00512433" w:rsidP="00512433">
            <w:pPr>
              <w:keepNext/>
              <w:keepLines/>
              <w:jc w:val="center"/>
              <w:rPr>
                <w:rFonts w:ascii="Arial" w:hAnsi="Arial" w:cs="Arial"/>
                <w:sz w:val="20"/>
                <w:szCs w:val="20"/>
              </w:rPr>
            </w:pPr>
            <w:r>
              <w:rPr>
                <w:rFonts w:ascii="Arial" w:hAnsi="Arial" w:cs="Arial"/>
                <w:sz w:val="20"/>
                <w:szCs w:val="20"/>
              </w:rPr>
              <w:t>10.0%</w:t>
            </w:r>
          </w:p>
        </w:tc>
        <w:tc>
          <w:tcPr>
            <w:tcW w:w="1727" w:type="dxa"/>
            <w:shd w:val="clear" w:color="auto" w:fill="auto"/>
          </w:tcPr>
          <w:p w14:paraId="6BD35923" w14:textId="1E5CDCA2" w:rsidR="00512433" w:rsidRPr="009C75E1" w:rsidRDefault="008D79A9" w:rsidP="00512433">
            <w:pPr>
              <w:keepNext/>
              <w:keepLines/>
              <w:jc w:val="center"/>
              <w:rPr>
                <w:rFonts w:ascii="Arial" w:hAnsi="Arial" w:cs="Arial"/>
                <w:sz w:val="20"/>
                <w:szCs w:val="20"/>
              </w:rPr>
            </w:pPr>
            <w:r>
              <w:rPr>
                <w:rFonts w:ascii="Arial" w:hAnsi="Arial" w:cs="Arial"/>
                <w:sz w:val="20"/>
                <w:szCs w:val="20"/>
              </w:rPr>
              <w:t>13.1%</w:t>
            </w:r>
          </w:p>
        </w:tc>
      </w:tr>
    </w:tbl>
    <w:p w14:paraId="46F2BD68" w14:textId="7F1C96AE" w:rsidR="008D79A9" w:rsidRDefault="008D79A9" w:rsidP="002B724E"/>
    <w:p w14:paraId="284ABB8F" w14:textId="3CF054C0" w:rsidR="002B724E" w:rsidRDefault="002B724E" w:rsidP="002B724E">
      <w:pPr>
        <w:pStyle w:val="Heading3"/>
      </w:pPr>
      <w:bookmarkStart w:id="311" w:name="_Toc383597958"/>
      <w:bookmarkStart w:id="312" w:name="_Toc415761853"/>
      <w:r w:rsidRPr="001B48E7">
        <w:t xml:space="preserve">6.2.2 Previous versus current </w:t>
      </w:r>
      <w:r w:rsidR="00933F01" w:rsidRPr="00933F01">
        <w:rPr>
          <w:i/>
        </w:rPr>
        <w:t>ex-ante</w:t>
      </w:r>
      <w:bookmarkEnd w:id="311"/>
      <w:bookmarkEnd w:id="312"/>
    </w:p>
    <w:p w14:paraId="560A1DC3" w14:textId="7BCC5090" w:rsidR="002B724E" w:rsidRDefault="002B724E" w:rsidP="002B724E">
      <w:r>
        <w:t xml:space="preserve">In this sub-section, we compare the </w:t>
      </w:r>
      <w:r w:rsidR="00933F01" w:rsidRPr="00933F01">
        <w:rPr>
          <w:i/>
        </w:rPr>
        <w:t>ex-ante</w:t>
      </w:r>
      <w:r>
        <w:t xml:space="preserve"> forecast prepared following PY 201</w:t>
      </w:r>
      <w:r w:rsidR="0000114E">
        <w:t>3</w:t>
      </w:r>
      <w:r>
        <w:t xml:space="preserve"> (the “previous study”) to the </w:t>
      </w:r>
      <w:r w:rsidR="00933F01" w:rsidRPr="00933F01">
        <w:rPr>
          <w:i/>
        </w:rPr>
        <w:t>ex-ante</w:t>
      </w:r>
      <w:r>
        <w:t xml:space="preserve"> forecast contained in this study (the “current study”). </w:t>
      </w:r>
      <w:r w:rsidR="00F26572">
        <w:t>Table 6.8</w:t>
      </w:r>
      <w:r>
        <w:t xml:space="preserve"> represents the forecast for the August 201</w:t>
      </w:r>
      <w:r w:rsidR="0000114E">
        <w:t>5</w:t>
      </w:r>
      <w:r>
        <w:t xml:space="preserve"> </w:t>
      </w:r>
      <w:r w:rsidR="0000114E">
        <w:t xml:space="preserve">utility-specific </w:t>
      </w:r>
      <w:r>
        <w:t>1-in-2 peak month day. Both program-level and portfolio-level forecasts are included in the table.</w:t>
      </w:r>
    </w:p>
    <w:p w14:paraId="5D24A03F" w14:textId="77777777" w:rsidR="002B724E" w:rsidRDefault="002B724E" w:rsidP="002B724E"/>
    <w:p w14:paraId="61248BFE" w14:textId="52069A6D" w:rsidR="002B724E" w:rsidRPr="00376F46" w:rsidRDefault="002B724E" w:rsidP="002B724E">
      <w:pPr>
        <w:pStyle w:val="TableCaption"/>
        <w:keepNext/>
        <w:keepLines/>
      </w:pPr>
      <w:bookmarkStart w:id="313" w:name="_Toc383598021"/>
      <w:bookmarkStart w:id="314" w:name="_Toc415761901"/>
      <w:r w:rsidRPr="00376F46">
        <w:t xml:space="preserve">Table </w:t>
      </w:r>
      <w:r>
        <w:t>6</w:t>
      </w:r>
      <w:r w:rsidRPr="00376F46">
        <w:t>.</w:t>
      </w:r>
      <w:r w:rsidR="00F26572">
        <w:t>8</w:t>
      </w:r>
      <w:r w:rsidRPr="00376F46">
        <w:t xml:space="preserve">: Comparison of </w:t>
      </w:r>
      <w:r w:rsidR="00933F01" w:rsidRPr="00933F01">
        <w:rPr>
          <w:i/>
        </w:rPr>
        <w:t>Ex-ante</w:t>
      </w:r>
      <w:r>
        <w:t xml:space="preserve"> </w:t>
      </w:r>
      <w:r w:rsidRPr="00376F46">
        <w:t xml:space="preserve">Impacts </w:t>
      </w:r>
      <w:r>
        <w:t xml:space="preserve">from </w:t>
      </w:r>
      <w:r w:rsidRPr="00376F46">
        <w:t>PY 201</w:t>
      </w:r>
      <w:r w:rsidR="0000114E">
        <w:t>3</w:t>
      </w:r>
      <w:r>
        <w:t xml:space="preserve"> and</w:t>
      </w:r>
      <w:r w:rsidRPr="00376F46">
        <w:t xml:space="preserve"> PY 201</w:t>
      </w:r>
      <w:r w:rsidR="0000114E">
        <w:t>4</w:t>
      </w:r>
      <w:r>
        <w:t xml:space="preserve"> Studies</w:t>
      </w:r>
      <w:r w:rsidRPr="00376F46">
        <w:t xml:space="preserve">, </w:t>
      </w:r>
      <w:r>
        <w:rPr>
          <w:i/>
        </w:rPr>
        <w:t>SC</w:t>
      </w:r>
      <w:r w:rsidRPr="00376F46">
        <w:rPr>
          <w:i/>
        </w:rPr>
        <w:t>E</w:t>
      </w:r>
      <w:bookmarkEnd w:id="313"/>
      <w:bookmarkEnd w:id="3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1916"/>
        <w:gridCol w:w="1445"/>
        <w:gridCol w:w="1369"/>
        <w:gridCol w:w="1440"/>
        <w:gridCol w:w="1307"/>
      </w:tblGrid>
      <w:tr w:rsidR="002B724E" w14:paraId="603B7CA9" w14:textId="77777777" w:rsidTr="00512433">
        <w:trPr>
          <w:jc w:val="center"/>
        </w:trPr>
        <w:tc>
          <w:tcPr>
            <w:tcW w:w="1188" w:type="dxa"/>
            <w:vMerge w:val="restart"/>
            <w:shd w:val="clear" w:color="auto" w:fill="D9E2F3"/>
            <w:vAlign w:val="center"/>
          </w:tcPr>
          <w:p w14:paraId="521B79D2"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Level</w:t>
            </w:r>
          </w:p>
        </w:tc>
        <w:tc>
          <w:tcPr>
            <w:tcW w:w="1980" w:type="dxa"/>
            <w:vMerge w:val="restart"/>
            <w:shd w:val="clear" w:color="auto" w:fill="D9E2F3"/>
            <w:vAlign w:val="center"/>
          </w:tcPr>
          <w:p w14:paraId="031D525F"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2880" w:type="dxa"/>
            <w:gridSpan w:val="2"/>
            <w:shd w:val="clear" w:color="auto" w:fill="D9E2F3"/>
            <w:vAlign w:val="center"/>
          </w:tcPr>
          <w:p w14:paraId="16EDBB44"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Program Level</w:t>
            </w:r>
          </w:p>
        </w:tc>
        <w:tc>
          <w:tcPr>
            <w:tcW w:w="2808" w:type="dxa"/>
            <w:gridSpan w:val="2"/>
            <w:shd w:val="clear" w:color="auto" w:fill="D9E2F3"/>
          </w:tcPr>
          <w:p w14:paraId="3935CE63"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Portfolio Level</w:t>
            </w:r>
          </w:p>
        </w:tc>
      </w:tr>
      <w:tr w:rsidR="002B724E" w14:paraId="7CE3F3D2" w14:textId="77777777" w:rsidTr="00512433">
        <w:trPr>
          <w:jc w:val="center"/>
        </w:trPr>
        <w:tc>
          <w:tcPr>
            <w:tcW w:w="1188" w:type="dxa"/>
            <w:vMerge/>
            <w:shd w:val="clear" w:color="auto" w:fill="D9E2F3"/>
            <w:vAlign w:val="center"/>
          </w:tcPr>
          <w:p w14:paraId="652A5149" w14:textId="77777777" w:rsidR="002B724E" w:rsidRPr="009C75E1" w:rsidRDefault="002B724E" w:rsidP="00512433">
            <w:pPr>
              <w:keepNext/>
              <w:keepLines/>
              <w:jc w:val="center"/>
              <w:rPr>
                <w:rFonts w:ascii="Arial" w:hAnsi="Arial" w:cs="Arial"/>
                <w:b/>
                <w:sz w:val="20"/>
                <w:szCs w:val="20"/>
              </w:rPr>
            </w:pPr>
          </w:p>
        </w:tc>
        <w:tc>
          <w:tcPr>
            <w:tcW w:w="1980" w:type="dxa"/>
            <w:vMerge/>
            <w:shd w:val="clear" w:color="auto" w:fill="D9E2F3"/>
            <w:vAlign w:val="center"/>
          </w:tcPr>
          <w:p w14:paraId="237D3AF5" w14:textId="77777777" w:rsidR="002B724E" w:rsidRPr="009C75E1" w:rsidRDefault="002B724E" w:rsidP="00512433">
            <w:pPr>
              <w:keepNext/>
              <w:keepLines/>
              <w:jc w:val="center"/>
              <w:rPr>
                <w:rFonts w:ascii="Arial" w:hAnsi="Arial" w:cs="Arial"/>
                <w:b/>
                <w:sz w:val="20"/>
                <w:szCs w:val="20"/>
              </w:rPr>
            </w:pPr>
          </w:p>
        </w:tc>
        <w:tc>
          <w:tcPr>
            <w:tcW w:w="1476" w:type="dxa"/>
            <w:shd w:val="clear" w:color="auto" w:fill="D9E2F3"/>
            <w:vAlign w:val="center"/>
          </w:tcPr>
          <w:p w14:paraId="164B8FE4" w14:textId="77777777" w:rsidR="002B724E" w:rsidRPr="009C75E1" w:rsidRDefault="002B724E" w:rsidP="00512433">
            <w:pPr>
              <w:keepNext/>
              <w:keepLines/>
              <w:jc w:val="center"/>
              <w:rPr>
                <w:rFonts w:ascii="Arial" w:hAnsi="Arial" w:cs="Arial"/>
                <w:b/>
                <w:sz w:val="20"/>
                <w:szCs w:val="20"/>
              </w:rPr>
            </w:pPr>
          </w:p>
          <w:p w14:paraId="6BDBCADC" w14:textId="54EF8756"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w:t>
            </w:r>
            <w:r w:rsidRPr="009C75E1">
              <w:rPr>
                <w:rFonts w:ascii="Arial" w:hAnsi="Arial" w:cs="Arial"/>
                <w:b/>
                <w:sz w:val="20"/>
                <w:szCs w:val="20"/>
              </w:rPr>
              <w:t xml:space="preserve"> 201</w:t>
            </w:r>
            <w:r w:rsidR="0000114E">
              <w:rPr>
                <w:rFonts w:ascii="Arial" w:hAnsi="Arial" w:cs="Arial"/>
                <w:b/>
                <w:sz w:val="20"/>
                <w:szCs w:val="20"/>
              </w:rPr>
              <w:t>5</w:t>
            </w:r>
          </w:p>
          <w:p w14:paraId="6A023A21" w14:textId="77777777" w:rsidR="002B724E" w:rsidRPr="009C75E1" w:rsidRDefault="002B724E" w:rsidP="00512433">
            <w:pPr>
              <w:keepNext/>
              <w:keepLines/>
              <w:jc w:val="center"/>
              <w:rPr>
                <w:rFonts w:ascii="Arial" w:hAnsi="Arial" w:cs="Arial"/>
                <w:b/>
                <w:sz w:val="20"/>
                <w:szCs w:val="20"/>
              </w:rPr>
            </w:pPr>
          </w:p>
        </w:tc>
        <w:tc>
          <w:tcPr>
            <w:tcW w:w="1404" w:type="dxa"/>
            <w:shd w:val="clear" w:color="auto" w:fill="D9E2F3"/>
            <w:vAlign w:val="center"/>
          </w:tcPr>
          <w:p w14:paraId="727CE684" w14:textId="06251471"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0000114E">
              <w:rPr>
                <w:rFonts w:ascii="Arial" w:hAnsi="Arial" w:cs="Arial"/>
                <w:b/>
                <w:sz w:val="20"/>
                <w:szCs w:val="20"/>
              </w:rPr>
              <w:t xml:space="preserve"> 2015</w:t>
            </w:r>
          </w:p>
        </w:tc>
        <w:tc>
          <w:tcPr>
            <w:tcW w:w="1471" w:type="dxa"/>
            <w:shd w:val="clear" w:color="auto" w:fill="D9E2F3"/>
            <w:vAlign w:val="center"/>
          </w:tcPr>
          <w:p w14:paraId="3CA450B0" w14:textId="77777777" w:rsidR="002B724E" w:rsidRPr="009C75E1" w:rsidRDefault="002B724E" w:rsidP="00512433">
            <w:pPr>
              <w:keepNext/>
              <w:keepLines/>
              <w:jc w:val="center"/>
              <w:rPr>
                <w:rFonts w:ascii="Arial" w:hAnsi="Arial" w:cs="Arial"/>
                <w:b/>
                <w:sz w:val="20"/>
                <w:szCs w:val="20"/>
              </w:rPr>
            </w:pPr>
          </w:p>
          <w:p w14:paraId="06B837CC" w14:textId="799DDD0A"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w:t>
            </w:r>
            <w:r w:rsidR="0000114E">
              <w:rPr>
                <w:rFonts w:ascii="Arial" w:hAnsi="Arial" w:cs="Arial"/>
                <w:b/>
                <w:sz w:val="20"/>
                <w:szCs w:val="20"/>
              </w:rPr>
              <w:t xml:space="preserve"> 2015</w:t>
            </w:r>
          </w:p>
          <w:p w14:paraId="64414800" w14:textId="77777777" w:rsidR="002B724E" w:rsidRPr="009C75E1" w:rsidRDefault="002B724E" w:rsidP="00512433">
            <w:pPr>
              <w:keepNext/>
              <w:keepLines/>
              <w:jc w:val="center"/>
              <w:rPr>
                <w:rFonts w:ascii="Arial" w:hAnsi="Arial" w:cs="Arial"/>
                <w:b/>
                <w:sz w:val="20"/>
                <w:szCs w:val="20"/>
              </w:rPr>
            </w:pPr>
          </w:p>
        </w:tc>
        <w:tc>
          <w:tcPr>
            <w:tcW w:w="1337" w:type="dxa"/>
            <w:shd w:val="clear" w:color="auto" w:fill="D9E2F3"/>
            <w:vAlign w:val="center"/>
          </w:tcPr>
          <w:p w14:paraId="37741F5D" w14:textId="01F390AB"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0000114E">
              <w:rPr>
                <w:rFonts w:ascii="Arial" w:hAnsi="Arial" w:cs="Arial"/>
                <w:b/>
                <w:sz w:val="20"/>
                <w:szCs w:val="20"/>
              </w:rPr>
              <w:t xml:space="preserve"> 2015</w:t>
            </w:r>
          </w:p>
        </w:tc>
      </w:tr>
      <w:tr w:rsidR="002B724E" w14:paraId="23AC43E4" w14:textId="77777777" w:rsidTr="00512433">
        <w:trPr>
          <w:jc w:val="center"/>
        </w:trPr>
        <w:tc>
          <w:tcPr>
            <w:tcW w:w="1188" w:type="dxa"/>
            <w:vMerge w:val="restart"/>
            <w:shd w:val="clear" w:color="auto" w:fill="auto"/>
            <w:vAlign w:val="center"/>
          </w:tcPr>
          <w:p w14:paraId="500DB29A" w14:textId="77777777" w:rsidR="002B724E" w:rsidRPr="009C75E1" w:rsidRDefault="002B724E" w:rsidP="00512433">
            <w:pPr>
              <w:keepNext/>
              <w:keepLines/>
              <w:rPr>
                <w:rFonts w:ascii="Arial" w:hAnsi="Arial" w:cs="Arial"/>
                <w:b/>
                <w:sz w:val="20"/>
                <w:szCs w:val="20"/>
              </w:rPr>
            </w:pPr>
            <w:r w:rsidRPr="009C75E1">
              <w:rPr>
                <w:rFonts w:ascii="Arial" w:hAnsi="Arial" w:cs="Arial"/>
                <w:b/>
                <w:sz w:val="20"/>
                <w:szCs w:val="20"/>
              </w:rPr>
              <w:t>Total</w:t>
            </w:r>
          </w:p>
        </w:tc>
        <w:tc>
          <w:tcPr>
            <w:tcW w:w="1980" w:type="dxa"/>
            <w:shd w:val="clear" w:color="auto" w:fill="auto"/>
          </w:tcPr>
          <w:p w14:paraId="3889ACC4"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 SAIDs</w:t>
            </w:r>
          </w:p>
        </w:tc>
        <w:tc>
          <w:tcPr>
            <w:tcW w:w="1476" w:type="dxa"/>
            <w:shd w:val="clear" w:color="auto" w:fill="auto"/>
          </w:tcPr>
          <w:p w14:paraId="14B5A77C" w14:textId="2EB20C78" w:rsidR="002B724E" w:rsidRPr="009C75E1" w:rsidRDefault="0000114E" w:rsidP="00512433">
            <w:pPr>
              <w:keepNext/>
              <w:keepLines/>
              <w:jc w:val="center"/>
              <w:rPr>
                <w:rFonts w:ascii="Arial" w:hAnsi="Arial" w:cs="Arial"/>
                <w:sz w:val="20"/>
                <w:szCs w:val="20"/>
              </w:rPr>
            </w:pPr>
            <w:r>
              <w:rPr>
                <w:rFonts w:ascii="Arial" w:hAnsi="Arial" w:cs="Arial"/>
                <w:sz w:val="20"/>
                <w:szCs w:val="20"/>
              </w:rPr>
              <w:t>710</w:t>
            </w:r>
          </w:p>
        </w:tc>
        <w:tc>
          <w:tcPr>
            <w:tcW w:w="1404" w:type="dxa"/>
            <w:shd w:val="clear" w:color="auto" w:fill="auto"/>
          </w:tcPr>
          <w:p w14:paraId="17E6F014" w14:textId="16D49B8D" w:rsidR="002B724E" w:rsidRPr="009C75E1" w:rsidRDefault="001B48E7" w:rsidP="00512433">
            <w:pPr>
              <w:keepNext/>
              <w:keepLines/>
              <w:jc w:val="center"/>
              <w:rPr>
                <w:rFonts w:ascii="Arial" w:hAnsi="Arial" w:cs="Arial"/>
                <w:sz w:val="20"/>
                <w:szCs w:val="20"/>
              </w:rPr>
            </w:pPr>
            <w:r>
              <w:rPr>
                <w:rFonts w:ascii="Arial" w:hAnsi="Arial" w:cs="Arial"/>
                <w:sz w:val="20"/>
                <w:szCs w:val="20"/>
              </w:rPr>
              <w:t>772</w:t>
            </w:r>
          </w:p>
        </w:tc>
        <w:tc>
          <w:tcPr>
            <w:tcW w:w="1471" w:type="dxa"/>
            <w:shd w:val="clear" w:color="auto" w:fill="auto"/>
          </w:tcPr>
          <w:p w14:paraId="1194F34E" w14:textId="0D64677B" w:rsidR="002B724E" w:rsidRPr="009C75E1" w:rsidRDefault="0000114E" w:rsidP="00512433">
            <w:pPr>
              <w:keepNext/>
              <w:keepLines/>
              <w:jc w:val="center"/>
              <w:rPr>
                <w:rFonts w:ascii="Arial" w:hAnsi="Arial" w:cs="Arial"/>
                <w:sz w:val="20"/>
                <w:szCs w:val="20"/>
              </w:rPr>
            </w:pPr>
            <w:r>
              <w:rPr>
                <w:rFonts w:ascii="Arial" w:hAnsi="Arial" w:cs="Arial"/>
                <w:sz w:val="20"/>
                <w:szCs w:val="20"/>
              </w:rPr>
              <w:t>559</w:t>
            </w:r>
          </w:p>
        </w:tc>
        <w:tc>
          <w:tcPr>
            <w:tcW w:w="1337" w:type="dxa"/>
            <w:shd w:val="clear" w:color="auto" w:fill="auto"/>
          </w:tcPr>
          <w:p w14:paraId="1A46A81E" w14:textId="58BC5FB4" w:rsidR="002B724E" w:rsidRPr="009C75E1" w:rsidRDefault="001B48E7" w:rsidP="00512433">
            <w:pPr>
              <w:keepNext/>
              <w:keepLines/>
              <w:jc w:val="center"/>
              <w:rPr>
                <w:rFonts w:ascii="Arial" w:hAnsi="Arial" w:cs="Arial"/>
                <w:sz w:val="20"/>
                <w:szCs w:val="20"/>
              </w:rPr>
            </w:pPr>
            <w:r>
              <w:rPr>
                <w:rFonts w:ascii="Arial" w:hAnsi="Arial" w:cs="Arial"/>
                <w:sz w:val="20"/>
                <w:szCs w:val="20"/>
              </w:rPr>
              <w:t>489</w:t>
            </w:r>
          </w:p>
        </w:tc>
      </w:tr>
      <w:tr w:rsidR="002B724E" w14:paraId="39DB6084" w14:textId="77777777" w:rsidTr="00512433">
        <w:trPr>
          <w:trHeight w:val="242"/>
          <w:jc w:val="center"/>
        </w:trPr>
        <w:tc>
          <w:tcPr>
            <w:tcW w:w="1188" w:type="dxa"/>
            <w:vMerge/>
            <w:shd w:val="clear" w:color="auto" w:fill="auto"/>
            <w:vAlign w:val="center"/>
          </w:tcPr>
          <w:p w14:paraId="22B55620"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21B5CA5D"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Reference (MW)</w:t>
            </w:r>
          </w:p>
        </w:tc>
        <w:tc>
          <w:tcPr>
            <w:tcW w:w="1476" w:type="dxa"/>
            <w:shd w:val="clear" w:color="auto" w:fill="auto"/>
          </w:tcPr>
          <w:p w14:paraId="5621293A" w14:textId="7F952837" w:rsidR="002B724E" w:rsidRPr="009C75E1" w:rsidRDefault="0000114E" w:rsidP="00512433">
            <w:pPr>
              <w:keepNext/>
              <w:keepLines/>
              <w:jc w:val="center"/>
              <w:rPr>
                <w:rFonts w:ascii="Arial" w:hAnsi="Arial" w:cs="Arial"/>
                <w:sz w:val="20"/>
                <w:szCs w:val="20"/>
              </w:rPr>
            </w:pPr>
            <w:r>
              <w:rPr>
                <w:rFonts w:ascii="Arial" w:hAnsi="Arial" w:cs="Arial"/>
                <w:sz w:val="20"/>
                <w:szCs w:val="20"/>
              </w:rPr>
              <w:t>643</w:t>
            </w:r>
          </w:p>
        </w:tc>
        <w:tc>
          <w:tcPr>
            <w:tcW w:w="1404" w:type="dxa"/>
            <w:shd w:val="clear" w:color="auto" w:fill="auto"/>
          </w:tcPr>
          <w:p w14:paraId="51376EEF" w14:textId="756027AB" w:rsidR="002B724E" w:rsidRPr="009C75E1" w:rsidRDefault="001B48E7" w:rsidP="00512433">
            <w:pPr>
              <w:keepNext/>
              <w:keepLines/>
              <w:jc w:val="center"/>
              <w:rPr>
                <w:rFonts w:ascii="Arial" w:hAnsi="Arial" w:cs="Arial"/>
                <w:sz w:val="20"/>
                <w:szCs w:val="20"/>
              </w:rPr>
            </w:pPr>
            <w:r>
              <w:rPr>
                <w:rFonts w:ascii="Arial" w:hAnsi="Arial" w:cs="Arial"/>
                <w:sz w:val="20"/>
                <w:szCs w:val="20"/>
              </w:rPr>
              <w:t>698</w:t>
            </w:r>
          </w:p>
        </w:tc>
        <w:tc>
          <w:tcPr>
            <w:tcW w:w="1471" w:type="dxa"/>
            <w:shd w:val="clear" w:color="auto" w:fill="auto"/>
          </w:tcPr>
          <w:p w14:paraId="56A7B0FF" w14:textId="09CACE54" w:rsidR="002B724E" w:rsidRPr="009C75E1" w:rsidRDefault="0000114E" w:rsidP="00512433">
            <w:pPr>
              <w:keepNext/>
              <w:keepLines/>
              <w:jc w:val="center"/>
              <w:rPr>
                <w:rFonts w:ascii="Arial" w:hAnsi="Arial" w:cs="Arial"/>
                <w:sz w:val="20"/>
                <w:szCs w:val="20"/>
              </w:rPr>
            </w:pPr>
            <w:r>
              <w:rPr>
                <w:rFonts w:ascii="Arial" w:hAnsi="Arial" w:cs="Arial"/>
                <w:sz w:val="20"/>
                <w:szCs w:val="20"/>
              </w:rPr>
              <w:t>349</w:t>
            </w:r>
          </w:p>
        </w:tc>
        <w:tc>
          <w:tcPr>
            <w:tcW w:w="1337" w:type="dxa"/>
            <w:shd w:val="clear" w:color="auto" w:fill="auto"/>
          </w:tcPr>
          <w:p w14:paraId="7A3E0F3C" w14:textId="4DB06810" w:rsidR="002B724E" w:rsidRPr="009C75E1" w:rsidRDefault="001B48E7" w:rsidP="00512433">
            <w:pPr>
              <w:keepNext/>
              <w:keepLines/>
              <w:jc w:val="center"/>
              <w:rPr>
                <w:rFonts w:ascii="Arial" w:hAnsi="Arial" w:cs="Arial"/>
                <w:sz w:val="20"/>
                <w:szCs w:val="20"/>
              </w:rPr>
            </w:pPr>
            <w:r>
              <w:rPr>
                <w:rFonts w:ascii="Arial" w:hAnsi="Arial" w:cs="Arial"/>
                <w:sz w:val="20"/>
                <w:szCs w:val="20"/>
              </w:rPr>
              <w:t>298</w:t>
            </w:r>
          </w:p>
        </w:tc>
      </w:tr>
      <w:tr w:rsidR="002B724E" w14:paraId="4A6B977A" w14:textId="77777777" w:rsidTr="00512433">
        <w:trPr>
          <w:jc w:val="center"/>
        </w:trPr>
        <w:tc>
          <w:tcPr>
            <w:tcW w:w="1188" w:type="dxa"/>
            <w:vMerge/>
            <w:shd w:val="clear" w:color="auto" w:fill="auto"/>
            <w:vAlign w:val="center"/>
          </w:tcPr>
          <w:p w14:paraId="30127B33"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500D25CC"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Load Impact (MW)</w:t>
            </w:r>
          </w:p>
        </w:tc>
        <w:tc>
          <w:tcPr>
            <w:tcW w:w="1476" w:type="dxa"/>
            <w:shd w:val="clear" w:color="auto" w:fill="auto"/>
          </w:tcPr>
          <w:p w14:paraId="236FEDE2" w14:textId="1834B0E8" w:rsidR="002B724E" w:rsidRPr="009C75E1" w:rsidRDefault="0000114E" w:rsidP="00512433">
            <w:pPr>
              <w:keepNext/>
              <w:keepLines/>
              <w:jc w:val="center"/>
              <w:rPr>
                <w:rFonts w:ascii="Arial" w:hAnsi="Arial" w:cs="Arial"/>
                <w:sz w:val="20"/>
                <w:szCs w:val="20"/>
              </w:rPr>
            </w:pPr>
            <w:r>
              <w:rPr>
                <w:rFonts w:ascii="Arial" w:hAnsi="Arial" w:cs="Arial"/>
                <w:sz w:val="20"/>
                <w:szCs w:val="20"/>
              </w:rPr>
              <w:t>87</w:t>
            </w:r>
          </w:p>
        </w:tc>
        <w:tc>
          <w:tcPr>
            <w:tcW w:w="1404" w:type="dxa"/>
            <w:shd w:val="clear" w:color="auto" w:fill="auto"/>
          </w:tcPr>
          <w:p w14:paraId="1805CAB9" w14:textId="04DEB4D9" w:rsidR="002B724E" w:rsidRPr="009C75E1" w:rsidRDefault="001B48E7" w:rsidP="00512433">
            <w:pPr>
              <w:keepNext/>
              <w:keepLines/>
              <w:jc w:val="center"/>
              <w:rPr>
                <w:rFonts w:ascii="Arial" w:hAnsi="Arial" w:cs="Arial"/>
                <w:sz w:val="20"/>
                <w:szCs w:val="20"/>
              </w:rPr>
            </w:pPr>
            <w:r>
              <w:rPr>
                <w:rFonts w:ascii="Arial" w:hAnsi="Arial" w:cs="Arial"/>
                <w:sz w:val="20"/>
                <w:szCs w:val="20"/>
              </w:rPr>
              <w:t>110</w:t>
            </w:r>
          </w:p>
        </w:tc>
        <w:tc>
          <w:tcPr>
            <w:tcW w:w="1471" w:type="dxa"/>
            <w:shd w:val="clear" w:color="auto" w:fill="auto"/>
          </w:tcPr>
          <w:p w14:paraId="313EE9F5" w14:textId="445A1068" w:rsidR="002B724E" w:rsidRPr="009C75E1" w:rsidRDefault="0000114E" w:rsidP="00512433">
            <w:pPr>
              <w:keepNext/>
              <w:keepLines/>
              <w:jc w:val="center"/>
              <w:rPr>
                <w:rFonts w:ascii="Arial" w:hAnsi="Arial" w:cs="Arial"/>
                <w:sz w:val="20"/>
                <w:szCs w:val="20"/>
              </w:rPr>
            </w:pPr>
            <w:r>
              <w:rPr>
                <w:rFonts w:ascii="Arial" w:hAnsi="Arial" w:cs="Arial"/>
                <w:sz w:val="20"/>
                <w:szCs w:val="20"/>
              </w:rPr>
              <w:t>5</w:t>
            </w:r>
          </w:p>
        </w:tc>
        <w:tc>
          <w:tcPr>
            <w:tcW w:w="1337" w:type="dxa"/>
            <w:shd w:val="clear" w:color="auto" w:fill="auto"/>
          </w:tcPr>
          <w:p w14:paraId="55A2322C" w14:textId="03950854" w:rsidR="002B724E" w:rsidRPr="009C75E1" w:rsidRDefault="001B48E7" w:rsidP="00512433">
            <w:pPr>
              <w:keepNext/>
              <w:keepLines/>
              <w:jc w:val="center"/>
              <w:rPr>
                <w:rFonts w:ascii="Arial" w:hAnsi="Arial" w:cs="Arial"/>
                <w:sz w:val="20"/>
                <w:szCs w:val="20"/>
              </w:rPr>
            </w:pPr>
            <w:r>
              <w:rPr>
                <w:rFonts w:ascii="Arial" w:hAnsi="Arial" w:cs="Arial"/>
                <w:sz w:val="20"/>
                <w:szCs w:val="20"/>
              </w:rPr>
              <w:t>5</w:t>
            </w:r>
          </w:p>
        </w:tc>
      </w:tr>
      <w:tr w:rsidR="002B724E" w14:paraId="4B134F11" w14:textId="77777777" w:rsidTr="00512433">
        <w:trPr>
          <w:jc w:val="center"/>
        </w:trPr>
        <w:tc>
          <w:tcPr>
            <w:tcW w:w="1188" w:type="dxa"/>
            <w:vMerge w:val="restart"/>
            <w:shd w:val="clear" w:color="auto" w:fill="auto"/>
            <w:vAlign w:val="center"/>
          </w:tcPr>
          <w:p w14:paraId="1C9F06D4" w14:textId="77777777" w:rsidR="002B724E" w:rsidRPr="009C75E1" w:rsidRDefault="002B724E" w:rsidP="00512433">
            <w:pPr>
              <w:keepNext/>
              <w:keepLines/>
              <w:rPr>
                <w:rFonts w:ascii="Arial" w:hAnsi="Arial" w:cs="Arial"/>
                <w:b/>
                <w:sz w:val="20"/>
                <w:szCs w:val="20"/>
              </w:rPr>
            </w:pPr>
            <w:r w:rsidRPr="009C75E1">
              <w:rPr>
                <w:rFonts w:ascii="Arial" w:hAnsi="Arial" w:cs="Arial"/>
                <w:b/>
                <w:sz w:val="20"/>
                <w:szCs w:val="20"/>
              </w:rPr>
              <w:t>Per SAID</w:t>
            </w:r>
          </w:p>
        </w:tc>
        <w:tc>
          <w:tcPr>
            <w:tcW w:w="1980" w:type="dxa"/>
            <w:shd w:val="clear" w:color="auto" w:fill="auto"/>
          </w:tcPr>
          <w:p w14:paraId="1BD5AEE3"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Reference (kW)</w:t>
            </w:r>
          </w:p>
        </w:tc>
        <w:tc>
          <w:tcPr>
            <w:tcW w:w="1476" w:type="dxa"/>
            <w:shd w:val="clear" w:color="auto" w:fill="auto"/>
          </w:tcPr>
          <w:p w14:paraId="6FA2F2F5" w14:textId="38736F8D" w:rsidR="002B724E" w:rsidRPr="009C75E1" w:rsidRDefault="0000114E" w:rsidP="00512433">
            <w:pPr>
              <w:keepNext/>
              <w:keepLines/>
              <w:jc w:val="center"/>
              <w:rPr>
                <w:rFonts w:ascii="Arial" w:hAnsi="Arial" w:cs="Arial"/>
                <w:sz w:val="20"/>
                <w:szCs w:val="20"/>
              </w:rPr>
            </w:pPr>
            <w:r>
              <w:rPr>
                <w:rFonts w:ascii="Arial" w:hAnsi="Arial" w:cs="Arial"/>
                <w:sz w:val="20"/>
                <w:szCs w:val="20"/>
              </w:rPr>
              <w:t>906</w:t>
            </w:r>
          </w:p>
        </w:tc>
        <w:tc>
          <w:tcPr>
            <w:tcW w:w="1404" w:type="dxa"/>
            <w:shd w:val="clear" w:color="auto" w:fill="auto"/>
          </w:tcPr>
          <w:p w14:paraId="594F9F8E" w14:textId="6ECCA7B2" w:rsidR="002B724E" w:rsidRPr="009C75E1" w:rsidRDefault="001B48E7" w:rsidP="00512433">
            <w:pPr>
              <w:keepNext/>
              <w:keepLines/>
              <w:jc w:val="center"/>
              <w:rPr>
                <w:rFonts w:ascii="Arial" w:hAnsi="Arial" w:cs="Arial"/>
                <w:sz w:val="20"/>
                <w:szCs w:val="20"/>
              </w:rPr>
            </w:pPr>
            <w:r>
              <w:rPr>
                <w:rFonts w:ascii="Arial" w:hAnsi="Arial" w:cs="Arial"/>
                <w:sz w:val="20"/>
                <w:szCs w:val="20"/>
              </w:rPr>
              <w:t>904</w:t>
            </w:r>
          </w:p>
        </w:tc>
        <w:tc>
          <w:tcPr>
            <w:tcW w:w="1471" w:type="dxa"/>
            <w:shd w:val="clear" w:color="auto" w:fill="auto"/>
          </w:tcPr>
          <w:p w14:paraId="5EA902D8" w14:textId="5FE29074" w:rsidR="002B724E" w:rsidRPr="009C75E1" w:rsidRDefault="0000114E" w:rsidP="00512433">
            <w:pPr>
              <w:keepNext/>
              <w:keepLines/>
              <w:jc w:val="center"/>
              <w:rPr>
                <w:rFonts w:ascii="Arial" w:hAnsi="Arial" w:cs="Arial"/>
                <w:sz w:val="20"/>
                <w:szCs w:val="20"/>
              </w:rPr>
            </w:pPr>
            <w:r>
              <w:rPr>
                <w:rFonts w:ascii="Arial" w:hAnsi="Arial" w:cs="Arial"/>
                <w:sz w:val="20"/>
                <w:szCs w:val="20"/>
              </w:rPr>
              <w:t>625</w:t>
            </w:r>
          </w:p>
        </w:tc>
        <w:tc>
          <w:tcPr>
            <w:tcW w:w="1337" w:type="dxa"/>
            <w:shd w:val="clear" w:color="auto" w:fill="auto"/>
          </w:tcPr>
          <w:p w14:paraId="14DF06C4" w14:textId="076D422E" w:rsidR="002B724E" w:rsidRPr="009C75E1" w:rsidRDefault="001B48E7" w:rsidP="00512433">
            <w:pPr>
              <w:keepNext/>
              <w:keepLines/>
              <w:jc w:val="center"/>
              <w:rPr>
                <w:rFonts w:ascii="Arial" w:hAnsi="Arial" w:cs="Arial"/>
                <w:sz w:val="20"/>
                <w:szCs w:val="20"/>
              </w:rPr>
            </w:pPr>
            <w:r>
              <w:rPr>
                <w:rFonts w:ascii="Arial" w:hAnsi="Arial" w:cs="Arial"/>
                <w:sz w:val="20"/>
                <w:szCs w:val="20"/>
              </w:rPr>
              <w:t>609</w:t>
            </w:r>
          </w:p>
        </w:tc>
      </w:tr>
      <w:tr w:rsidR="002B724E" w14:paraId="743BDEFD" w14:textId="77777777" w:rsidTr="00512433">
        <w:trPr>
          <w:jc w:val="center"/>
        </w:trPr>
        <w:tc>
          <w:tcPr>
            <w:tcW w:w="1188" w:type="dxa"/>
            <w:vMerge/>
            <w:shd w:val="clear" w:color="auto" w:fill="auto"/>
          </w:tcPr>
          <w:p w14:paraId="3ECD0C0D"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5B54367F"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Load Impact (kW)</w:t>
            </w:r>
          </w:p>
        </w:tc>
        <w:tc>
          <w:tcPr>
            <w:tcW w:w="1476" w:type="dxa"/>
            <w:shd w:val="clear" w:color="auto" w:fill="auto"/>
          </w:tcPr>
          <w:p w14:paraId="48BB95EE" w14:textId="3F8B41B3" w:rsidR="002B724E" w:rsidRPr="009C75E1" w:rsidRDefault="0000114E" w:rsidP="00512433">
            <w:pPr>
              <w:keepNext/>
              <w:keepLines/>
              <w:jc w:val="center"/>
              <w:rPr>
                <w:rFonts w:ascii="Arial" w:hAnsi="Arial" w:cs="Arial"/>
                <w:sz w:val="20"/>
                <w:szCs w:val="20"/>
              </w:rPr>
            </w:pPr>
            <w:r>
              <w:rPr>
                <w:rFonts w:ascii="Arial" w:hAnsi="Arial" w:cs="Arial"/>
                <w:sz w:val="20"/>
                <w:szCs w:val="20"/>
              </w:rPr>
              <w:t>123</w:t>
            </w:r>
          </w:p>
        </w:tc>
        <w:tc>
          <w:tcPr>
            <w:tcW w:w="1404" w:type="dxa"/>
            <w:shd w:val="clear" w:color="auto" w:fill="auto"/>
          </w:tcPr>
          <w:p w14:paraId="5F73A599" w14:textId="3C4A40B7" w:rsidR="002B724E" w:rsidRPr="009C75E1" w:rsidRDefault="001B48E7" w:rsidP="00512433">
            <w:pPr>
              <w:keepNext/>
              <w:keepLines/>
              <w:jc w:val="center"/>
              <w:rPr>
                <w:rFonts w:ascii="Arial" w:hAnsi="Arial" w:cs="Arial"/>
                <w:sz w:val="20"/>
                <w:szCs w:val="20"/>
              </w:rPr>
            </w:pPr>
            <w:r>
              <w:rPr>
                <w:rFonts w:ascii="Arial" w:hAnsi="Arial" w:cs="Arial"/>
                <w:sz w:val="20"/>
                <w:szCs w:val="20"/>
              </w:rPr>
              <w:t>143</w:t>
            </w:r>
          </w:p>
        </w:tc>
        <w:tc>
          <w:tcPr>
            <w:tcW w:w="1471" w:type="dxa"/>
            <w:shd w:val="clear" w:color="auto" w:fill="auto"/>
          </w:tcPr>
          <w:p w14:paraId="72A4CC20" w14:textId="11CCA9E1" w:rsidR="002B724E" w:rsidRPr="009C75E1" w:rsidRDefault="0000114E" w:rsidP="00512433">
            <w:pPr>
              <w:keepNext/>
              <w:keepLines/>
              <w:jc w:val="center"/>
              <w:rPr>
                <w:rFonts w:ascii="Arial" w:hAnsi="Arial" w:cs="Arial"/>
                <w:sz w:val="20"/>
                <w:szCs w:val="20"/>
              </w:rPr>
            </w:pPr>
            <w:r>
              <w:rPr>
                <w:rFonts w:ascii="Arial" w:hAnsi="Arial" w:cs="Arial"/>
                <w:sz w:val="20"/>
                <w:szCs w:val="20"/>
              </w:rPr>
              <w:t>8</w:t>
            </w:r>
          </w:p>
        </w:tc>
        <w:tc>
          <w:tcPr>
            <w:tcW w:w="1337" w:type="dxa"/>
            <w:shd w:val="clear" w:color="auto" w:fill="auto"/>
          </w:tcPr>
          <w:p w14:paraId="3737D6E5" w14:textId="05909304" w:rsidR="002B724E" w:rsidRPr="009C75E1" w:rsidRDefault="001B48E7" w:rsidP="00512433">
            <w:pPr>
              <w:keepNext/>
              <w:keepLines/>
              <w:jc w:val="center"/>
              <w:rPr>
                <w:rFonts w:ascii="Arial" w:hAnsi="Arial" w:cs="Arial"/>
                <w:sz w:val="20"/>
                <w:szCs w:val="20"/>
              </w:rPr>
            </w:pPr>
            <w:r>
              <w:rPr>
                <w:rFonts w:ascii="Arial" w:hAnsi="Arial" w:cs="Arial"/>
                <w:sz w:val="20"/>
                <w:szCs w:val="20"/>
              </w:rPr>
              <w:t>9</w:t>
            </w:r>
          </w:p>
        </w:tc>
      </w:tr>
      <w:tr w:rsidR="002B724E" w14:paraId="618F3F70" w14:textId="77777777" w:rsidTr="00512433">
        <w:trPr>
          <w:jc w:val="center"/>
        </w:trPr>
        <w:tc>
          <w:tcPr>
            <w:tcW w:w="1188" w:type="dxa"/>
            <w:vMerge/>
            <w:shd w:val="clear" w:color="auto" w:fill="auto"/>
          </w:tcPr>
          <w:p w14:paraId="37E67AE9" w14:textId="77777777" w:rsidR="002B724E" w:rsidRPr="009C75E1" w:rsidRDefault="002B724E" w:rsidP="00512433">
            <w:pPr>
              <w:keepNext/>
              <w:keepLines/>
              <w:rPr>
                <w:rFonts w:ascii="Arial" w:hAnsi="Arial" w:cs="Arial"/>
                <w:sz w:val="20"/>
                <w:szCs w:val="20"/>
              </w:rPr>
            </w:pPr>
          </w:p>
        </w:tc>
        <w:tc>
          <w:tcPr>
            <w:tcW w:w="1980" w:type="dxa"/>
            <w:shd w:val="clear" w:color="auto" w:fill="auto"/>
          </w:tcPr>
          <w:p w14:paraId="2005FECF" w14:textId="77777777" w:rsidR="002B724E" w:rsidRPr="009C75E1" w:rsidRDefault="002B724E" w:rsidP="00512433">
            <w:pPr>
              <w:keepNext/>
              <w:keepLines/>
              <w:rPr>
                <w:rFonts w:ascii="Arial" w:hAnsi="Arial" w:cs="Arial"/>
                <w:sz w:val="20"/>
                <w:szCs w:val="20"/>
              </w:rPr>
            </w:pPr>
            <w:r w:rsidRPr="009C75E1">
              <w:rPr>
                <w:rFonts w:ascii="Arial" w:hAnsi="Arial" w:cs="Arial"/>
                <w:sz w:val="20"/>
                <w:szCs w:val="20"/>
              </w:rPr>
              <w:t>% Load Impact</w:t>
            </w:r>
          </w:p>
        </w:tc>
        <w:tc>
          <w:tcPr>
            <w:tcW w:w="1476" w:type="dxa"/>
            <w:shd w:val="clear" w:color="auto" w:fill="auto"/>
          </w:tcPr>
          <w:p w14:paraId="210D0D97" w14:textId="5C6442D2" w:rsidR="002B724E" w:rsidRPr="009C75E1" w:rsidRDefault="0000114E" w:rsidP="00512433">
            <w:pPr>
              <w:keepNext/>
              <w:keepLines/>
              <w:jc w:val="center"/>
              <w:rPr>
                <w:rFonts w:ascii="Arial" w:hAnsi="Arial" w:cs="Arial"/>
                <w:sz w:val="20"/>
                <w:szCs w:val="20"/>
              </w:rPr>
            </w:pPr>
            <w:r>
              <w:rPr>
                <w:rFonts w:ascii="Arial" w:hAnsi="Arial" w:cs="Arial"/>
                <w:sz w:val="20"/>
                <w:szCs w:val="20"/>
              </w:rPr>
              <w:t>13.5%</w:t>
            </w:r>
          </w:p>
        </w:tc>
        <w:tc>
          <w:tcPr>
            <w:tcW w:w="1404" w:type="dxa"/>
            <w:shd w:val="clear" w:color="auto" w:fill="auto"/>
          </w:tcPr>
          <w:p w14:paraId="0CCF0AC9" w14:textId="07A17970" w:rsidR="002B724E" w:rsidRPr="009C75E1" w:rsidRDefault="001B48E7" w:rsidP="00512433">
            <w:pPr>
              <w:keepNext/>
              <w:keepLines/>
              <w:jc w:val="center"/>
              <w:rPr>
                <w:rFonts w:ascii="Arial" w:hAnsi="Arial" w:cs="Arial"/>
                <w:sz w:val="20"/>
                <w:szCs w:val="20"/>
              </w:rPr>
            </w:pPr>
            <w:r>
              <w:rPr>
                <w:rFonts w:ascii="Arial" w:hAnsi="Arial" w:cs="Arial"/>
                <w:sz w:val="20"/>
                <w:szCs w:val="20"/>
              </w:rPr>
              <w:t>15.8%</w:t>
            </w:r>
          </w:p>
        </w:tc>
        <w:tc>
          <w:tcPr>
            <w:tcW w:w="1471" w:type="dxa"/>
            <w:shd w:val="clear" w:color="auto" w:fill="auto"/>
          </w:tcPr>
          <w:p w14:paraId="7DDD8BF2" w14:textId="739DDA40" w:rsidR="002B724E" w:rsidRPr="009C75E1" w:rsidRDefault="0000114E" w:rsidP="00512433">
            <w:pPr>
              <w:keepNext/>
              <w:keepLines/>
              <w:jc w:val="center"/>
              <w:rPr>
                <w:rFonts w:ascii="Arial" w:hAnsi="Arial" w:cs="Arial"/>
                <w:sz w:val="20"/>
                <w:szCs w:val="20"/>
              </w:rPr>
            </w:pPr>
            <w:r>
              <w:rPr>
                <w:rFonts w:ascii="Arial" w:hAnsi="Arial" w:cs="Arial"/>
                <w:sz w:val="20"/>
                <w:szCs w:val="20"/>
              </w:rPr>
              <w:t>1.3%</w:t>
            </w:r>
          </w:p>
        </w:tc>
        <w:tc>
          <w:tcPr>
            <w:tcW w:w="1337" w:type="dxa"/>
            <w:shd w:val="clear" w:color="auto" w:fill="auto"/>
          </w:tcPr>
          <w:p w14:paraId="374EB555" w14:textId="1664ABB1" w:rsidR="002B724E" w:rsidRPr="009C75E1" w:rsidRDefault="001B48E7" w:rsidP="00512433">
            <w:pPr>
              <w:keepNext/>
              <w:keepLines/>
              <w:jc w:val="center"/>
              <w:rPr>
                <w:rFonts w:ascii="Arial" w:hAnsi="Arial" w:cs="Arial"/>
                <w:sz w:val="20"/>
                <w:szCs w:val="20"/>
              </w:rPr>
            </w:pPr>
            <w:r>
              <w:rPr>
                <w:rFonts w:ascii="Arial" w:hAnsi="Arial" w:cs="Arial"/>
                <w:sz w:val="20"/>
                <w:szCs w:val="20"/>
              </w:rPr>
              <w:t>1.6%</w:t>
            </w:r>
          </w:p>
        </w:tc>
      </w:tr>
    </w:tbl>
    <w:p w14:paraId="4F81A96B" w14:textId="77777777" w:rsidR="002B724E" w:rsidRDefault="002B724E" w:rsidP="002B724E"/>
    <w:p w14:paraId="3C4D3FC5" w14:textId="167A73C5" w:rsidR="002B724E" w:rsidRDefault="001B48E7" w:rsidP="002B724E">
      <w:r>
        <w:t xml:space="preserve">There are several notable differences between the previous and current </w:t>
      </w:r>
      <w:r w:rsidR="00933F01" w:rsidRPr="00933F01">
        <w:rPr>
          <w:i/>
        </w:rPr>
        <w:t>ex-ante</w:t>
      </w:r>
      <w:r>
        <w:t xml:space="preserve"> forecasts. First, the enrollment numbers have changed, such that this study includes more service accounts overall and a higher percentage of them are dually enrolled in another DR program (as evidenced by the lower enrollments in the portfolio-level scenarios).</w:t>
      </w:r>
      <w:r w:rsidR="008E43CD">
        <w:rPr>
          <w:rStyle w:val="FootnoteReference"/>
        </w:rPr>
        <w:footnoteReference w:id="13"/>
      </w:r>
      <w:r>
        <w:t xml:space="preserve"> As described above, the most notable change to the program across years was the addition of a very large and responsive service account. </w:t>
      </w:r>
    </w:p>
    <w:p w14:paraId="7A94307F" w14:textId="107BB345" w:rsidR="002B724E" w:rsidRDefault="002B724E" w:rsidP="002B724E">
      <w:pPr>
        <w:pStyle w:val="Heading3"/>
      </w:pPr>
      <w:bookmarkStart w:id="315" w:name="_Toc383597959"/>
      <w:bookmarkStart w:id="316" w:name="_Toc415761854"/>
      <w:r>
        <w:t xml:space="preserve">6.2.3 Previous </w:t>
      </w:r>
      <w:r w:rsidR="00933F01" w:rsidRPr="00933F01">
        <w:rPr>
          <w:i/>
        </w:rPr>
        <w:t>ex-ante</w:t>
      </w:r>
      <w:r>
        <w:t xml:space="preserve"> versus current </w:t>
      </w:r>
      <w:r w:rsidR="00933F01" w:rsidRPr="00933F01">
        <w:rPr>
          <w:i/>
        </w:rPr>
        <w:t>ex-post</w:t>
      </w:r>
      <w:bookmarkEnd w:id="315"/>
      <w:bookmarkEnd w:id="316"/>
    </w:p>
    <w:p w14:paraId="2215605D" w14:textId="6933FDC3" w:rsidR="002B724E" w:rsidRDefault="002B724E" w:rsidP="002B724E">
      <w:r>
        <w:t>Table 6.</w:t>
      </w:r>
      <w:r w:rsidR="00F26572">
        <w:t>9</w:t>
      </w:r>
      <w:r>
        <w:t xml:space="preserve"> provides a comparison of the </w:t>
      </w:r>
      <w:r w:rsidR="00933F01" w:rsidRPr="00933F01">
        <w:rPr>
          <w:i/>
        </w:rPr>
        <w:t>ex-ante</w:t>
      </w:r>
      <w:r>
        <w:t xml:space="preserve"> forecast of 201</w:t>
      </w:r>
      <w:r w:rsidR="00D93A6C">
        <w:t>4</w:t>
      </w:r>
      <w:r>
        <w:t xml:space="preserve"> load impacts prepared following PY2013 and the PY201</w:t>
      </w:r>
      <w:r w:rsidR="00D93A6C">
        <w:t>4</w:t>
      </w:r>
      <w:r>
        <w:t xml:space="preserve"> load impacts estimated as part of this study. The </w:t>
      </w:r>
      <w:r w:rsidR="00933F01" w:rsidRPr="00933F01">
        <w:rPr>
          <w:i/>
        </w:rPr>
        <w:t>ex-ante</w:t>
      </w:r>
      <w:r>
        <w:t xml:space="preserve"> forecast shown in the table represents the typical event day during a 1-in-2 weather year. The </w:t>
      </w:r>
      <w:r w:rsidR="00933F01" w:rsidRPr="00933F01">
        <w:rPr>
          <w:i/>
        </w:rPr>
        <w:t>ex-post</w:t>
      </w:r>
      <w:r>
        <w:t xml:space="preserve"> load impacts are averaged across the </w:t>
      </w:r>
      <w:r w:rsidR="00D93A6C">
        <w:t>seven</w:t>
      </w:r>
      <w:r>
        <w:t xml:space="preserve"> PY201</w:t>
      </w:r>
      <w:r w:rsidR="00D93A6C">
        <w:t>4</w:t>
      </w:r>
      <w:r>
        <w:t xml:space="preserve"> event days.</w:t>
      </w:r>
    </w:p>
    <w:p w14:paraId="291E9CBD" w14:textId="77777777" w:rsidR="002B724E" w:rsidRDefault="002B724E" w:rsidP="002B724E"/>
    <w:p w14:paraId="166FC70B" w14:textId="771D8F39" w:rsidR="002B724E" w:rsidRDefault="002B724E" w:rsidP="002B724E">
      <w:r>
        <w:t xml:space="preserve">Notice that the </w:t>
      </w:r>
      <w:r w:rsidR="00933F01" w:rsidRPr="00933F01">
        <w:rPr>
          <w:i/>
        </w:rPr>
        <w:t>ex-ante</w:t>
      </w:r>
      <w:r>
        <w:t xml:space="preserve"> forecast assumed fewer customers than were enrolled during PY201</w:t>
      </w:r>
      <w:r w:rsidR="00D93A6C">
        <w:t>4</w:t>
      </w:r>
      <w:r>
        <w:t xml:space="preserve">, but the forecast customers were </w:t>
      </w:r>
      <w:r w:rsidR="00D93A6C">
        <w:t xml:space="preserve">similar to the observed customers </w:t>
      </w:r>
      <w:r>
        <w:t>on average</w:t>
      </w:r>
      <w:r w:rsidR="00D93A6C">
        <w:t xml:space="preserve"> (in both average size and demand responsiveness)</w:t>
      </w:r>
      <w:r>
        <w:t xml:space="preserve">. </w:t>
      </w:r>
      <w:r w:rsidR="00D93A6C">
        <w:t xml:space="preserve">The higher estimated load impact appears to be due to the addition of responsive customers to the program, which we described in Section 6.2.1. </w:t>
      </w:r>
    </w:p>
    <w:p w14:paraId="5933B64E" w14:textId="77777777" w:rsidR="002B724E" w:rsidRDefault="002B724E" w:rsidP="002B724E"/>
    <w:p w14:paraId="2FE5A8DA" w14:textId="2EF95D60" w:rsidR="002B724E" w:rsidRPr="00376F46" w:rsidRDefault="002B724E" w:rsidP="002B724E">
      <w:pPr>
        <w:pStyle w:val="TableCaption"/>
        <w:keepNext/>
        <w:keepLines/>
      </w:pPr>
      <w:bookmarkStart w:id="317" w:name="_Toc383598022"/>
      <w:bookmarkStart w:id="318" w:name="_Toc415761902"/>
      <w:r w:rsidRPr="00376F46">
        <w:lastRenderedPageBreak/>
        <w:t xml:space="preserve">Table </w:t>
      </w:r>
      <w:r>
        <w:t>6</w:t>
      </w:r>
      <w:r w:rsidRPr="00376F46">
        <w:t>.</w:t>
      </w:r>
      <w:r w:rsidR="00F26572">
        <w:t>9</w:t>
      </w:r>
      <w:r w:rsidRPr="00376F46">
        <w:t xml:space="preserve"> Comparison of </w:t>
      </w:r>
      <w:r>
        <w:t xml:space="preserve">Previous </w:t>
      </w:r>
      <w:r w:rsidR="00933F01" w:rsidRPr="00933F01">
        <w:rPr>
          <w:i/>
        </w:rPr>
        <w:t>Ex-ante</w:t>
      </w:r>
      <w:r>
        <w:t xml:space="preserve"> and Current </w:t>
      </w:r>
      <w:r w:rsidR="00933F01" w:rsidRPr="00933F01">
        <w:rPr>
          <w:i/>
        </w:rPr>
        <w:t>Ex-post</w:t>
      </w:r>
      <w:r>
        <w:t xml:space="preserve"> </w:t>
      </w:r>
      <w:r w:rsidRPr="00376F46">
        <w:t>Impacts</w:t>
      </w:r>
      <w:r>
        <w:t>,</w:t>
      </w:r>
      <w:r w:rsidRPr="00376F46">
        <w:t xml:space="preserve"> </w:t>
      </w:r>
      <w:r>
        <w:rPr>
          <w:i/>
        </w:rPr>
        <w:t>SC</w:t>
      </w:r>
      <w:r w:rsidRPr="00376F46">
        <w:rPr>
          <w:i/>
        </w:rPr>
        <w:t>E</w:t>
      </w:r>
      <w:bookmarkEnd w:id="317"/>
      <w:bookmarkEnd w:id="3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2B724E" w14:paraId="15B9F068" w14:textId="77777777" w:rsidTr="00512433">
        <w:trPr>
          <w:jc w:val="center"/>
        </w:trPr>
        <w:tc>
          <w:tcPr>
            <w:tcW w:w="1548" w:type="dxa"/>
            <w:shd w:val="clear" w:color="auto" w:fill="D9E2F3"/>
            <w:vAlign w:val="center"/>
          </w:tcPr>
          <w:p w14:paraId="188B76DC"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395B8A39"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07D27E4F" w14:textId="77777777" w:rsidR="002B724E" w:rsidRPr="009C75E1" w:rsidRDefault="002B724E" w:rsidP="00512433">
            <w:pPr>
              <w:keepNext/>
              <w:keepLines/>
              <w:jc w:val="center"/>
              <w:rPr>
                <w:rFonts w:ascii="Arial" w:hAnsi="Arial" w:cs="Arial"/>
                <w:b/>
                <w:sz w:val="20"/>
                <w:szCs w:val="20"/>
              </w:rPr>
            </w:pPr>
          </w:p>
          <w:p w14:paraId="314448C2" w14:textId="4CCAA3FF" w:rsidR="002B724E" w:rsidRPr="009C75E1" w:rsidRDefault="00933F01" w:rsidP="00512433">
            <w:pPr>
              <w:keepNext/>
              <w:keepLines/>
              <w:jc w:val="center"/>
              <w:rPr>
                <w:rFonts w:ascii="Arial" w:hAnsi="Arial" w:cs="Arial"/>
                <w:b/>
                <w:sz w:val="20"/>
                <w:szCs w:val="20"/>
              </w:rPr>
            </w:pPr>
            <w:r w:rsidRPr="00933F01">
              <w:rPr>
                <w:rFonts w:ascii="Arial" w:hAnsi="Arial" w:cs="Arial"/>
                <w:b/>
                <w:i/>
                <w:sz w:val="20"/>
                <w:szCs w:val="20"/>
              </w:rPr>
              <w:t>Ex-ante</w:t>
            </w:r>
            <w:r w:rsidR="002B724E">
              <w:rPr>
                <w:rFonts w:ascii="Arial" w:hAnsi="Arial" w:cs="Arial"/>
                <w:b/>
                <w:sz w:val="20"/>
                <w:szCs w:val="20"/>
              </w:rPr>
              <w:t xml:space="preserve"> for TED in PY201</w:t>
            </w:r>
            <w:r w:rsidR="00D93A6C">
              <w:rPr>
                <w:rFonts w:ascii="Arial" w:hAnsi="Arial" w:cs="Arial"/>
                <w:b/>
                <w:sz w:val="20"/>
                <w:szCs w:val="20"/>
              </w:rPr>
              <w:t>4</w:t>
            </w:r>
            <w:r w:rsidR="002B724E">
              <w:rPr>
                <w:rFonts w:ascii="Arial" w:hAnsi="Arial" w:cs="Arial"/>
                <w:b/>
                <w:sz w:val="20"/>
                <w:szCs w:val="20"/>
              </w:rPr>
              <w:t>, following PY201</w:t>
            </w:r>
            <w:r w:rsidR="00D93A6C">
              <w:rPr>
                <w:rFonts w:ascii="Arial" w:hAnsi="Arial" w:cs="Arial"/>
                <w:b/>
                <w:sz w:val="20"/>
                <w:szCs w:val="20"/>
              </w:rPr>
              <w:t>3</w:t>
            </w:r>
            <w:r w:rsidR="002B724E">
              <w:rPr>
                <w:rFonts w:ascii="Arial" w:hAnsi="Arial" w:cs="Arial"/>
                <w:b/>
                <w:sz w:val="20"/>
                <w:szCs w:val="20"/>
              </w:rPr>
              <w:t xml:space="preserve"> Study</w:t>
            </w:r>
          </w:p>
          <w:p w14:paraId="23A80CD3" w14:textId="77777777" w:rsidR="002B724E" w:rsidRPr="009C75E1" w:rsidRDefault="002B724E" w:rsidP="00512433">
            <w:pPr>
              <w:keepNext/>
              <w:keepLines/>
              <w:jc w:val="center"/>
              <w:rPr>
                <w:rFonts w:ascii="Arial" w:hAnsi="Arial" w:cs="Arial"/>
                <w:b/>
                <w:sz w:val="20"/>
                <w:szCs w:val="20"/>
              </w:rPr>
            </w:pPr>
          </w:p>
        </w:tc>
        <w:tc>
          <w:tcPr>
            <w:tcW w:w="1772" w:type="dxa"/>
            <w:shd w:val="clear" w:color="auto" w:fill="D9E2F3"/>
            <w:vAlign w:val="center"/>
          </w:tcPr>
          <w:p w14:paraId="0100C609" w14:textId="18D099C0" w:rsidR="002B724E" w:rsidRPr="009C75E1" w:rsidRDefault="00933F01" w:rsidP="00512433">
            <w:pPr>
              <w:keepNext/>
              <w:keepLines/>
              <w:jc w:val="center"/>
              <w:rPr>
                <w:rFonts w:ascii="Arial" w:hAnsi="Arial" w:cs="Arial"/>
                <w:b/>
                <w:sz w:val="20"/>
                <w:szCs w:val="20"/>
              </w:rPr>
            </w:pPr>
            <w:r w:rsidRPr="00933F01">
              <w:rPr>
                <w:rFonts w:ascii="Arial" w:hAnsi="Arial" w:cs="Arial"/>
                <w:b/>
                <w:i/>
                <w:sz w:val="20"/>
                <w:szCs w:val="20"/>
              </w:rPr>
              <w:t>Ex-post</w:t>
            </w:r>
            <w:r w:rsidR="002B724E">
              <w:rPr>
                <w:rFonts w:ascii="Arial" w:hAnsi="Arial" w:cs="Arial"/>
                <w:b/>
                <w:sz w:val="20"/>
                <w:szCs w:val="20"/>
              </w:rPr>
              <w:t xml:space="preserve"> Average Event Day, </w:t>
            </w:r>
            <w:r w:rsidR="00D93A6C">
              <w:rPr>
                <w:rFonts w:ascii="Arial" w:hAnsi="Arial" w:cs="Arial"/>
                <w:b/>
                <w:sz w:val="20"/>
                <w:szCs w:val="20"/>
              </w:rPr>
              <w:t>PY2014</w:t>
            </w:r>
          </w:p>
        </w:tc>
      </w:tr>
      <w:tr w:rsidR="00D93A6C" w14:paraId="2EA161E7" w14:textId="77777777" w:rsidTr="00512433">
        <w:trPr>
          <w:jc w:val="center"/>
        </w:trPr>
        <w:tc>
          <w:tcPr>
            <w:tcW w:w="1548" w:type="dxa"/>
            <w:vMerge w:val="restart"/>
            <w:shd w:val="clear" w:color="auto" w:fill="auto"/>
            <w:vAlign w:val="center"/>
          </w:tcPr>
          <w:p w14:paraId="194894E9" w14:textId="77777777" w:rsidR="00D93A6C" w:rsidRPr="009C75E1" w:rsidRDefault="00D93A6C" w:rsidP="00D93A6C">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1085666F" w14:textId="77777777" w:rsidR="00D93A6C" w:rsidRPr="009C75E1" w:rsidRDefault="00D93A6C" w:rsidP="00D93A6C">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tcPr>
          <w:p w14:paraId="68B7597F" w14:textId="32E4030E" w:rsidR="00D93A6C" w:rsidRPr="009C75E1" w:rsidRDefault="00D93A6C" w:rsidP="00D93A6C">
            <w:pPr>
              <w:keepNext/>
              <w:keepLines/>
              <w:jc w:val="center"/>
              <w:rPr>
                <w:rFonts w:ascii="Arial" w:hAnsi="Arial" w:cs="Arial"/>
                <w:sz w:val="20"/>
                <w:szCs w:val="20"/>
              </w:rPr>
            </w:pPr>
            <w:r>
              <w:rPr>
                <w:rFonts w:ascii="Arial" w:hAnsi="Arial" w:cs="Arial"/>
                <w:sz w:val="20"/>
                <w:szCs w:val="20"/>
              </w:rPr>
              <w:t>740</w:t>
            </w:r>
          </w:p>
        </w:tc>
        <w:tc>
          <w:tcPr>
            <w:tcW w:w="1772" w:type="dxa"/>
            <w:shd w:val="clear" w:color="auto" w:fill="auto"/>
          </w:tcPr>
          <w:p w14:paraId="5CF142ED" w14:textId="2F238B70" w:rsidR="00D93A6C" w:rsidRPr="009C75E1" w:rsidRDefault="00D93A6C" w:rsidP="00D93A6C">
            <w:pPr>
              <w:keepNext/>
              <w:keepLines/>
              <w:jc w:val="center"/>
              <w:rPr>
                <w:rFonts w:ascii="Arial" w:hAnsi="Arial" w:cs="Arial"/>
                <w:sz w:val="20"/>
                <w:szCs w:val="20"/>
              </w:rPr>
            </w:pPr>
            <w:r>
              <w:rPr>
                <w:rFonts w:ascii="Arial" w:hAnsi="Arial" w:cs="Arial"/>
                <w:sz w:val="20"/>
                <w:szCs w:val="20"/>
              </w:rPr>
              <w:t>944</w:t>
            </w:r>
          </w:p>
        </w:tc>
      </w:tr>
      <w:tr w:rsidR="00D93A6C" w14:paraId="59B747EB" w14:textId="77777777" w:rsidTr="00512433">
        <w:trPr>
          <w:trHeight w:val="242"/>
          <w:jc w:val="center"/>
        </w:trPr>
        <w:tc>
          <w:tcPr>
            <w:tcW w:w="1548" w:type="dxa"/>
            <w:vMerge/>
            <w:shd w:val="clear" w:color="auto" w:fill="auto"/>
            <w:vAlign w:val="center"/>
          </w:tcPr>
          <w:p w14:paraId="0035B2AA" w14:textId="77777777" w:rsidR="00D93A6C" w:rsidRPr="009C75E1" w:rsidRDefault="00D93A6C" w:rsidP="00D93A6C">
            <w:pPr>
              <w:keepNext/>
              <w:keepLines/>
              <w:rPr>
                <w:rFonts w:ascii="Arial" w:hAnsi="Arial" w:cs="Arial"/>
                <w:sz w:val="20"/>
                <w:szCs w:val="20"/>
              </w:rPr>
            </w:pPr>
          </w:p>
        </w:tc>
        <w:tc>
          <w:tcPr>
            <w:tcW w:w="1994" w:type="dxa"/>
            <w:shd w:val="clear" w:color="auto" w:fill="auto"/>
          </w:tcPr>
          <w:p w14:paraId="2713CBC5" w14:textId="77777777" w:rsidR="00D93A6C" w:rsidRPr="009C75E1" w:rsidRDefault="00D93A6C" w:rsidP="00D93A6C">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tcPr>
          <w:p w14:paraId="3D7D1E42" w14:textId="7055FB9C" w:rsidR="00D93A6C" w:rsidRPr="009C75E1" w:rsidRDefault="00D93A6C" w:rsidP="00D93A6C">
            <w:pPr>
              <w:keepNext/>
              <w:keepLines/>
              <w:jc w:val="center"/>
              <w:rPr>
                <w:rFonts w:ascii="Arial" w:hAnsi="Arial" w:cs="Arial"/>
                <w:sz w:val="20"/>
                <w:szCs w:val="20"/>
              </w:rPr>
            </w:pPr>
            <w:r>
              <w:rPr>
                <w:rFonts w:ascii="Arial" w:hAnsi="Arial" w:cs="Arial"/>
                <w:sz w:val="20"/>
                <w:szCs w:val="20"/>
              </w:rPr>
              <w:t>670</w:t>
            </w:r>
          </w:p>
        </w:tc>
        <w:tc>
          <w:tcPr>
            <w:tcW w:w="1772" w:type="dxa"/>
            <w:shd w:val="clear" w:color="auto" w:fill="auto"/>
          </w:tcPr>
          <w:p w14:paraId="03FE9C1A" w14:textId="4CC09485" w:rsidR="00D93A6C" w:rsidRPr="009C75E1" w:rsidRDefault="00D93A6C" w:rsidP="00D93A6C">
            <w:pPr>
              <w:keepNext/>
              <w:keepLines/>
              <w:jc w:val="center"/>
              <w:rPr>
                <w:rFonts w:ascii="Arial" w:hAnsi="Arial" w:cs="Arial"/>
                <w:sz w:val="20"/>
                <w:szCs w:val="20"/>
              </w:rPr>
            </w:pPr>
            <w:r>
              <w:rPr>
                <w:rFonts w:ascii="Arial" w:hAnsi="Arial" w:cs="Arial"/>
                <w:sz w:val="20"/>
                <w:szCs w:val="20"/>
              </w:rPr>
              <w:t>814</w:t>
            </w:r>
          </w:p>
        </w:tc>
      </w:tr>
      <w:tr w:rsidR="00D93A6C" w14:paraId="170687C0" w14:textId="77777777" w:rsidTr="00512433">
        <w:trPr>
          <w:jc w:val="center"/>
        </w:trPr>
        <w:tc>
          <w:tcPr>
            <w:tcW w:w="1548" w:type="dxa"/>
            <w:vMerge/>
            <w:shd w:val="clear" w:color="auto" w:fill="auto"/>
            <w:vAlign w:val="center"/>
          </w:tcPr>
          <w:p w14:paraId="674EDE3B" w14:textId="77777777" w:rsidR="00D93A6C" w:rsidRPr="009C75E1" w:rsidRDefault="00D93A6C" w:rsidP="00D93A6C">
            <w:pPr>
              <w:keepNext/>
              <w:keepLines/>
              <w:rPr>
                <w:rFonts w:ascii="Arial" w:hAnsi="Arial" w:cs="Arial"/>
                <w:sz w:val="20"/>
                <w:szCs w:val="20"/>
              </w:rPr>
            </w:pPr>
          </w:p>
        </w:tc>
        <w:tc>
          <w:tcPr>
            <w:tcW w:w="1994" w:type="dxa"/>
            <w:shd w:val="clear" w:color="auto" w:fill="auto"/>
          </w:tcPr>
          <w:p w14:paraId="57B071CC" w14:textId="77777777" w:rsidR="00D93A6C" w:rsidRPr="009C75E1" w:rsidRDefault="00D93A6C" w:rsidP="00D93A6C">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tcPr>
          <w:p w14:paraId="270A7C52" w14:textId="2DA29379" w:rsidR="00D93A6C" w:rsidRPr="009C75E1" w:rsidRDefault="00D93A6C" w:rsidP="00D93A6C">
            <w:pPr>
              <w:keepNext/>
              <w:keepLines/>
              <w:jc w:val="center"/>
              <w:rPr>
                <w:rFonts w:ascii="Arial" w:hAnsi="Arial" w:cs="Arial"/>
                <w:sz w:val="20"/>
                <w:szCs w:val="20"/>
              </w:rPr>
            </w:pPr>
            <w:r>
              <w:rPr>
                <w:rFonts w:ascii="Arial" w:hAnsi="Arial" w:cs="Arial"/>
                <w:sz w:val="20"/>
                <w:szCs w:val="20"/>
              </w:rPr>
              <w:t>91</w:t>
            </w:r>
          </w:p>
        </w:tc>
        <w:tc>
          <w:tcPr>
            <w:tcW w:w="1772" w:type="dxa"/>
            <w:shd w:val="clear" w:color="auto" w:fill="auto"/>
          </w:tcPr>
          <w:p w14:paraId="58502E21" w14:textId="3345B396" w:rsidR="00D93A6C" w:rsidRPr="009C75E1" w:rsidRDefault="00D93A6C" w:rsidP="00D93A6C">
            <w:pPr>
              <w:keepNext/>
              <w:keepLines/>
              <w:jc w:val="center"/>
              <w:rPr>
                <w:rFonts w:ascii="Arial" w:hAnsi="Arial" w:cs="Arial"/>
                <w:sz w:val="20"/>
                <w:szCs w:val="20"/>
              </w:rPr>
            </w:pPr>
            <w:r>
              <w:rPr>
                <w:rFonts w:ascii="Arial" w:hAnsi="Arial" w:cs="Arial"/>
                <w:sz w:val="20"/>
                <w:szCs w:val="20"/>
              </w:rPr>
              <w:t>107</w:t>
            </w:r>
          </w:p>
        </w:tc>
      </w:tr>
      <w:tr w:rsidR="00D93A6C" w14:paraId="5F607BE1" w14:textId="77777777" w:rsidTr="00512433">
        <w:trPr>
          <w:jc w:val="center"/>
        </w:trPr>
        <w:tc>
          <w:tcPr>
            <w:tcW w:w="1548" w:type="dxa"/>
            <w:vMerge w:val="restart"/>
            <w:shd w:val="clear" w:color="auto" w:fill="auto"/>
            <w:vAlign w:val="center"/>
          </w:tcPr>
          <w:p w14:paraId="70928978" w14:textId="77777777" w:rsidR="00D93A6C" w:rsidRPr="009C75E1" w:rsidRDefault="00D93A6C" w:rsidP="00D93A6C">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40B0ADB1" w14:textId="77777777" w:rsidR="00D93A6C" w:rsidRPr="009C75E1" w:rsidRDefault="00D93A6C" w:rsidP="00D93A6C">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tcPr>
          <w:p w14:paraId="550424C2" w14:textId="51004FEA" w:rsidR="00D93A6C" w:rsidRPr="009C75E1" w:rsidRDefault="00D93A6C" w:rsidP="00D93A6C">
            <w:pPr>
              <w:keepNext/>
              <w:keepLines/>
              <w:jc w:val="center"/>
              <w:rPr>
                <w:rFonts w:ascii="Arial" w:hAnsi="Arial" w:cs="Arial"/>
                <w:sz w:val="20"/>
                <w:szCs w:val="20"/>
              </w:rPr>
            </w:pPr>
            <w:r>
              <w:rPr>
                <w:rFonts w:ascii="Arial" w:hAnsi="Arial" w:cs="Arial"/>
                <w:sz w:val="20"/>
                <w:szCs w:val="20"/>
              </w:rPr>
              <w:t>906</w:t>
            </w:r>
          </w:p>
        </w:tc>
        <w:tc>
          <w:tcPr>
            <w:tcW w:w="1772" w:type="dxa"/>
            <w:shd w:val="clear" w:color="auto" w:fill="auto"/>
          </w:tcPr>
          <w:p w14:paraId="1B030EEE" w14:textId="782DEA39" w:rsidR="00D93A6C" w:rsidRPr="009C75E1" w:rsidRDefault="00D93A6C" w:rsidP="00D93A6C">
            <w:pPr>
              <w:keepNext/>
              <w:keepLines/>
              <w:jc w:val="center"/>
              <w:rPr>
                <w:rFonts w:ascii="Arial" w:hAnsi="Arial" w:cs="Arial"/>
                <w:sz w:val="20"/>
                <w:szCs w:val="20"/>
              </w:rPr>
            </w:pPr>
            <w:r>
              <w:rPr>
                <w:rFonts w:ascii="Arial" w:hAnsi="Arial" w:cs="Arial"/>
                <w:sz w:val="20"/>
                <w:szCs w:val="20"/>
              </w:rPr>
              <w:t>862</w:t>
            </w:r>
          </w:p>
        </w:tc>
      </w:tr>
      <w:tr w:rsidR="00D93A6C" w14:paraId="36433E47" w14:textId="77777777" w:rsidTr="00512433">
        <w:trPr>
          <w:jc w:val="center"/>
        </w:trPr>
        <w:tc>
          <w:tcPr>
            <w:tcW w:w="1548" w:type="dxa"/>
            <w:vMerge/>
            <w:shd w:val="clear" w:color="auto" w:fill="auto"/>
          </w:tcPr>
          <w:p w14:paraId="137D4227" w14:textId="77777777" w:rsidR="00D93A6C" w:rsidRPr="009C75E1" w:rsidRDefault="00D93A6C" w:rsidP="00D93A6C">
            <w:pPr>
              <w:keepNext/>
              <w:keepLines/>
              <w:rPr>
                <w:rFonts w:ascii="Arial" w:hAnsi="Arial" w:cs="Arial"/>
                <w:sz w:val="20"/>
                <w:szCs w:val="20"/>
              </w:rPr>
            </w:pPr>
          </w:p>
        </w:tc>
        <w:tc>
          <w:tcPr>
            <w:tcW w:w="1994" w:type="dxa"/>
            <w:shd w:val="clear" w:color="auto" w:fill="auto"/>
          </w:tcPr>
          <w:p w14:paraId="475F9CB9" w14:textId="77777777" w:rsidR="00D93A6C" w:rsidRPr="009C75E1" w:rsidRDefault="00D93A6C" w:rsidP="00D93A6C">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tcPr>
          <w:p w14:paraId="3A0C34C8" w14:textId="7763967C" w:rsidR="00D93A6C" w:rsidRPr="009C75E1" w:rsidRDefault="00D93A6C" w:rsidP="00D93A6C">
            <w:pPr>
              <w:keepNext/>
              <w:keepLines/>
              <w:jc w:val="center"/>
              <w:rPr>
                <w:rFonts w:ascii="Arial" w:hAnsi="Arial" w:cs="Arial"/>
                <w:sz w:val="20"/>
                <w:szCs w:val="20"/>
              </w:rPr>
            </w:pPr>
            <w:r>
              <w:rPr>
                <w:rFonts w:ascii="Arial" w:hAnsi="Arial" w:cs="Arial"/>
                <w:sz w:val="20"/>
                <w:szCs w:val="20"/>
              </w:rPr>
              <w:t>123</w:t>
            </w:r>
          </w:p>
        </w:tc>
        <w:tc>
          <w:tcPr>
            <w:tcW w:w="1772" w:type="dxa"/>
            <w:shd w:val="clear" w:color="auto" w:fill="auto"/>
          </w:tcPr>
          <w:p w14:paraId="0151B2C1" w14:textId="7984B876" w:rsidR="00D93A6C" w:rsidRPr="009C75E1" w:rsidRDefault="00D93A6C" w:rsidP="00D93A6C">
            <w:pPr>
              <w:keepNext/>
              <w:keepLines/>
              <w:jc w:val="center"/>
              <w:rPr>
                <w:rFonts w:ascii="Arial" w:hAnsi="Arial" w:cs="Arial"/>
                <w:sz w:val="20"/>
                <w:szCs w:val="20"/>
              </w:rPr>
            </w:pPr>
            <w:r>
              <w:rPr>
                <w:rFonts w:ascii="Arial" w:hAnsi="Arial" w:cs="Arial"/>
                <w:sz w:val="20"/>
                <w:szCs w:val="20"/>
              </w:rPr>
              <w:t>113</w:t>
            </w:r>
          </w:p>
        </w:tc>
      </w:tr>
      <w:tr w:rsidR="00D93A6C" w14:paraId="23A431B1" w14:textId="77777777" w:rsidTr="00512433">
        <w:trPr>
          <w:jc w:val="center"/>
        </w:trPr>
        <w:tc>
          <w:tcPr>
            <w:tcW w:w="1548" w:type="dxa"/>
            <w:vMerge/>
            <w:shd w:val="clear" w:color="auto" w:fill="auto"/>
          </w:tcPr>
          <w:p w14:paraId="4CB8EB0E" w14:textId="77777777" w:rsidR="00D93A6C" w:rsidRPr="009C75E1" w:rsidRDefault="00D93A6C" w:rsidP="00D93A6C">
            <w:pPr>
              <w:keepNext/>
              <w:keepLines/>
              <w:rPr>
                <w:rFonts w:ascii="Arial" w:hAnsi="Arial" w:cs="Arial"/>
                <w:sz w:val="20"/>
                <w:szCs w:val="20"/>
              </w:rPr>
            </w:pPr>
          </w:p>
        </w:tc>
        <w:tc>
          <w:tcPr>
            <w:tcW w:w="1994" w:type="dxa"/>
            <w:shd w:val="clear" w:color="auto" w:fill="auto"/>
          </w:tcPr>
          <w:p w14:paraId="6D1E6567" w14:textId="77777777" w:rsidR="00D93A6C" w:rsidRPr="009C75E1" w:rsidRDefault="00D93A6C" w:rsidP="00D93A6C">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tcPr>
          <w:p w14:paraId="42252125" w14:textId="42910A42" w:rsidR="00D93A6C" w:rsidRPr="009C75E1" w:rsidRDefault="00D93A6C" w:rsidP="00D93A6C">
            <w:pPr>
              <w:keepNext/>
              <w:keepLines/>
              <w:jc w:val="center"/>
              <w:rPr>
                <w:rFonts w:ascii="Arial" w:hAnsi="Arial" w:cs="Arial"/>
                <w:sz w:val="20"/>
                <w:szCs w:val="20"/>
              </w:rPr>
            </w:pPr>
            <w:r>
              <w:rPr>
                <w:rFonts w:ascii="Arial" w:hAnsi="Arial" w:cs="Arial"/>
                <w:sz w:val="20"/>
                <w:szCs w:val="20"/>
              </w:rPr>
              <w:t>13.5%</w:t>
            </w:r>
          </w:p>
        </w:tc>
        <w:tc>
          <w:tcPr>
            <w:tcW w:w="1772" w:type="dxa"/>
            <w:shd w:val="clear" w:color="auto" w:fill="auto"/>
          </w:tcPr>
          <w:p w14:paraId="257564AE" w14:textId="2F24BBE8" w:rsidR="00D93A6C" w:rsidRPr="009C75E1" w:rsidRDefault="00D93A6C" w:rsidP="00D93A6C">
            <w:pPr>
              <w:keepNext/>
              <w:keepLines/>
              <w:jc w:val="center"/>
              <w:rPr>
                <w:rFonts w:ascii="Arial" w:hAnsi="Arial" w:cs="Arial"/>
                <w:sz w:val="20"/>
                <w:szCs w:val="20"/>
              </w:rPr>
            </w:pPr>
            <w:r>
              <w:rPr>
                <w:rFonts w:ascii="Arial" w:hAnsi="Arial" w:cs="Arial"/>
                <w:sz w:val="20"/>
                <w:szCs w:val="20"/>
              </w:rPr>
              <w:t>13.1%</w:t>
            </w:r>
          </w:p>
        </w:tc>
      </w:tr>
    </w:tbl>
    <w:p w14:paraId="6D131BE7" w14:textId="77777777" w:rsidR="002B724E" w:rsidRDefault="002B724E" w:rsidP="002B724E"/>
    <w:p w14:paraId="11226D80" w14:textId="78F6A360" w:rsidR="002B724E" w:rsidRDefault="002B724E" w:rsidP="002B724E">
      <w:r>
        <w:t>Table 6.</w:t>
      </w:r>
      <w:r w:rsidR="00F26572">
        <w:t>10</w:t>
      </w:r>
      <w:r>
        <w:t xml:space="preserve"> compares the b</w:t>
      </w:r>
      <w:r w:rsidR="00D93A6C">
        <w:t>id realization rates from PY2012</w:t>
      </w:r>
      <w:r>
        <w:t xml:space="preserve"> through PY201</w:t>
      </w:r>
      <w:r w:rsidR="00D93A6C">
        <w:t>4</w:t>
      </w:r>
      <w:r>
        <w:t xml:space="preserve">. The total bid load reduction </w:t>
      </w:r>
      <w:r w:rsidR="00D93A6C">
        <w:t xml:space="preserve">increases across the years even though the total bid amount remains fairly constant. This results in an increasing bid realization rate over time. This is what one would expect to occur as SCE removes non-performing customers from the program. </w:t>
      </w:r>
    </w:p>
    <w:p w14:paraId="70CF6F49" w14:textId="77777777" w:rsidR="002B724E" w:rsidRDefault="002B724E" w:rsidP="002B724E"/>
    <w:p w14:paraId="60ED2EAA" w14:textId="411FB885" w:rsidR="002B724E" w:rsidRPr="00376F46" w:rsidRDefault="002B724E" w:rsidP="002B724E">
      <w:pPr>
        <w:pStyle w:val="TableCaption"/>
        <w:keepNext/>
        <w:keepLines/>
      </w:pPr>
      <w:bookmarkStart w:id="319" w:name="_Toc383598023"/>
      <w:bookmarkStart w:id="320" w:name="_Toc415761903"/>
      <w:r w:rsidRPr="00376F46">
        <w:t xml:space="preserve">Table </w:t>
      </w:r>
      <w:r>
        <w:t>6</w:t>
      </w:r>
      <w:r w:rsidRPr="00376F46">
        <w:t>.</w:t>
      </w:r>
      <w:r w:rsidR="00F26572">
        <w:t>10</w:t>
      </w:r>
      <w:r w:rsidRPr="00376F46">
        <w:t xml:space="preserve"> Comparison of </w:t>
      </w:r>
      <w:r>
        <w:t>Bid Realization Rates from PY201</w:t>
      </w:r>
      <w:r w:rsidR="00D93A6C">
        <w:t>2</w:t>
      </w:r>
      <w:r>
        <w:t xml:space="preserve"> to PY201</w:t>
      </w:r>
      <w:r w:rsidR="00D93A6C">
        <w:t>4</w:t>
      </w:r>
      <w:r w:rsidRPr="00376F46">
        <w:t xml:space="preserve">, </w:t>
      </w:r>
      <w:r>
        <w:rPr>
          <w:i/>
        </w:rPr>
        <w:t>SC</w:t>
      </w:r>
      <w:r w:rsidRPr="00376F46">
        <w:rPr>
          <w:i/>
        </w:rPr>
        <w:t>E</w:t>
      </w:r>
      <w:bookmarkEnd w:id="319"/>
      <w:bookmarkEnd w:id="3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1771"/>
        <w:gridCol w:w="1771"/>
        <w:gridCol w:w="1772"/>
      </w:tblGrid>
      <w:tr w:rsidR="002B724E" w14:paraId="14C183A7" w14:textId="77777777" w:rsidTr="00512433">
        <w:trPr>
          <w:jc w:val="center"/>
        </w:trPr>
        <w:tc>
          <w:tcPr>
            <w:tcW w:w="1994" w:type="dxa"/>
            <w:shd w:val="clear" w:color="auto" w:fill="D9E2F3"/>
            <w:vAlign w:val="center"/>
          </w:tcPr>
          <w:p w14:paraId="06242660" w14:textId="77777777" w:rsidR="002B724E" w:rsidRPr="009C75E1" w:rsidRDefault="002B724E" w:rsidP="00512433">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33E0D298" w14:textId="77777777" w:rsidR="002B724E" w:rsidRPr="009C75E1" w:rsidRDefault="002B724E" w:rsidP="00512433">
            <w:pPr>
              <w:keepNext/>
              <w:keepLines/>
              <w:jc w:val="center"/>
              <w:rPr>
                <w:rFonts w:ascii="Arial" w:hAnsi="Arial" w:cs="Arial"/>
                <w:b/>
                <w:sz w:val="20"/>
                <w:szCs w:val="20"/>
              </w:rPr>
            </w:pPr>
          </w:p>
          <w:p w14:paraId="52FBE104" w14:textId="20B4271E" w:rsidR="002B724E" w:rsidRPr="009C75E1" w:rsidRDefault="00D93A6C" w:rsidP="00512433">
            <w:pPr>
              <w:keepNext/>
              <w:keepLines/>
              <w:jc w:val="center"/>
              <w:rPr>
                <w:rFonts w:ascii="Arial" w:hAnsi="Arial" w:cs="Arial"/>
                <w:b/>
                <w:sz w:val="20"/>
                <w:szCs w:val="20"/>
              </w:rPr>
            </w:pPr>
            <w:r>
              <w:rPr>
                <w:rFonts w:ascii="Arial" w:hAnsi="Arial" w:cs="Arial"/>
                <w:b/>
                <w:sz w:val="20"/>
                <w:szCs w:val="20"/>
              </w:rPr>
              <w:t>PY2012</w:t>
            </w:r>
          </w:p>
          <w:p w14:paraId="23F44174" w14:textId="77777777" w:rsidR="002B724E" w:rsidRPr="009C75E1" w:rsidRDefault="002B724E" w:rsidP="00512433">
            <w:pPr>
              <w:keepNext/>
              <w:keepLines/>
              <w:jc w:val="center"/>
              <w:rPr>
                <w:rFonts w:ascii="Arial" w:hAnsi="Arial" w:cs="Arial"/>
                <w:b/>
                <w:sz w:val="20"/>
                <w:szCs w:val="20"/>
              </w:rPr>
            </w:pPr>
          </w:p>
        </w:tc>
        <w:tc>
          <w:tcPr>
            <w:tcW w:w="1771" w:type="dxa"/>
            <w:shd w:val="clear" w:color="auto" w:fill="D9E2F3"/>
            <w:vAlign w:val="center"/>
          </w:tcPr>
          <w:p w14:paraId="6C7FC14D" w14:textId="476B21DF" w:rsidR="002B724E" w:rsidRPr="009C75E1" w:rsidRDefault="00D93A6C" w:rsidP="00512433">
            <w:pPr>
              <w:keepNext/>
              <w:keepLines/>
              <w:jc w:val="center"/>
              <w:rPr>
                <w:rFonts w:ascii="Arial" w:hAnsi="Arial" w:cs="Arial"/>
                <w:b/>
                <w:sz w:val="20"/>
                <w:szCs w:val="20"/>
              </w:rPr>
            </w:pPr>
            <w:r>
              <w:rPr>
                <w:rFonts w:ascii="Arial" w:hAnsi="Arial" w:cs="Arial"/>
                <w:b/>
                <w:sz w:val="20"/>
                <w:szCs w:val="20"/>
              </w:rPr>
              <w:t>PY2013</w:t>
            </w:r>
          </w:p>
        </w:tc>
        <w:tc>
          <w:tcPr>
            <w:tcW w:w="1772" w:type="dxa"/>
            <w:shd w:val="clear" w:color="auto" w:fill="D9E2F3"/>
            <w:vAlign w:val="center"/>
          </w:tcPr>
          <w:p w14:paraId="7C278FB8" w14:textId="228E19DF" w:rsidR="002B724E" w:rsidRPr="009C75E1" w:rsidRDefault="00D93A6C" w:rsidP="00512433">
            <w:pPr>
              <w:keepNext/>
              <w:keepLines/>
              <w:jc w:val="center"/>
              <w:rPr>
                <w:rFonts w:ascii="Arial" w:hAnsi="Arial" w:cs="Arial"/>
                <w:b/>
                <w:sz w:val="20"/>
                <w:szCs w:val="20"/>
              </w:rPr>
            </w:pPr>
            <w:r>
              <w:rPr>
                <w:rFonts w:ascii="Arial" w:hAnsi="Arial" w:cs="Arial"/>
                <w:b/>
                <w:sz w:val="20"/>
                <w:szCs w:val="20"/>
              </w:rPr>
              <w:t>PY2014</w:t>
            </w:r>
          </w:p>
        </w:tc>
      </w:tr>
      <w:tr w:rsidR="00D93A6C" w14:paraId="54F9386C" w14:textId="77777777" w:rsidTr="00512433">
        <w:trPr>
          <w:jc w:val="center"/>
        </w:trPr>
        <w:tc>
          <w:tcPr>
            <w:tcW w:w="1994" w:type="dxa"/>
            <w:shd w:val="clear" w:color="auto" w:fill="auto"/>
          </w:tcPr>
          <w:p w14:paraId="5EE4503E" w14:textId="77777777" w:rsidR="00D93A6C" w:rsidRPr="009C75E1" w:rsidRDefault="00D93A6C" w:rsidP="00D93A6C">
            <w:pPr>
              <w:keepNext/>
              <w:keepLines/>
              <w:rPr>
                <w:rFonts w:ascii="Arial" w:hAnsi="Arial" w:cs="Arial"/>
                <w:sz w:val="20"/>
                <w:szCs w:val="20"/>
              </w:rPr>
            </w:pPr>
            <w:r>
              <w:rPr>
                <w:rFonts w:ascii="Arial" w:hAnsi="Arial" w:cs="Arial"/>
                <w:sz w:val="20"/>
                <w:szCs w:val="20"/>
              </w:rPr>
              <w:t>Avg. Bid Amount</w:t>
            </w:r>
          </w:p>
        </w:tc>
        <w:tc>
          <w:tcPr>
            <w:tcW w:w="1771" w:type="dxa"/>
            <w:shd w:val="clear" w:color="auto" w:fill="auto"/>
          </w:tcPr>
          <w:p w14:paraId="77E74BA9" w14:textId="0C0D3423" w:rsidR="00D93A6C" w:rsidRPr="009C75E1" w:rsidRDefault="00D93A6C" w:rsidP="00D93A6C">
            <w:pPr>
              <w:keepNext/>
              <w:keepLines/>
              <w:jc w:val="center"/>
              <w:rPr>
                <w:rFonts w:ascii="Arial" w:hAnsi="Arial" w:cs="Arial"/>
                <w:sz w:val="20"/>
                <w:szCs w:val="20"/>
              </w:rPr>
            </w:pPr>
            <w:r>
              <w:rPr>
                <w:rFonts w:ascii="Arial" w:hAnsi="Arial" w:cs="Arial"/>
                <w:sz w:val="20"/>
                <w:szCs w:val="20"/>
              </w:rPr>
              <w:t>134.3</w:t>
            </w:r>
          </w:p>
        </w:tc>
        <w:tc>
          <w:tcPr>
            <w:tcW w:w="1771" w:type="dxa"/>
            <w:shd w:val="clear" w:color="auto" w:fill="auto"/>
          </w:tcPr>
          <w:p w14:paraId="7F4E9D3C" w14:textId="18FC3C73" w:rsidR="00D93A6C" w:rsidRPr="009C75E1" w:rsidRDefault="00D93A6C" w:rsidP="00D93A6C">
            <w:pPr>
              <w:keepNext/>
              <w:keepLines/>
              <w:jc w:val="center"/>
              <w:rPr>
                <w:rFonts w:ascii="Arial" w:hAnsi="Arial" w:cs="Arial"/>
                <w:sz w:val="20"/>
                <w:szCs w:val="20"/>
              </w:rPr>
            </w:pPr>
            <w:r>
              <w:rPr>
                <w:rFonts w:ascii="Arial" w:hAnsi="Arial" w:cs="Arial"/>
                <w:sz w:val="20"/>
                <w:szCs w:val="20"/>
              </w:rPr>
              <w:t>134.2</w:t>
            </w:r>
          </w:p>
        </w:tc>
        <w:tc>
          <w:tcPr>
            <w:tcW w:w="1772" w:type="dxa"/>
            <w:shd w:val="clear" w:color="auto" w:fill="auto"/>
          </w:tcPr>
          <w:p w14:paraId="05F2F6F8" w14:textId="1287DE68" w:rsidR="00D93A6C" w:rsidRPr="009C75E1" w:rsidRDefault="00D93A6C" w:rsidP="00D93A6C">
            <w:pPr>
              <w:keepNext/>
              <w:keepLines/>
              <w:jc w:val="center"/>
              <w:rPr>
                <w:rFonts w:ascii="Arial" w:hAnsi="Arial" w:cs="Arial"/>
                <w:sz w:val="20"/>
                <w:szCs w:val="20"/>
              </w:rPr>
            </w:pPr>
            <w:r>
              <w:rPr>
                <w:rFonts w:ascii="Arial" w:hAnsi="Arial" w:cs="Arial"/>
                <w:sz w:val="20"/>
                <w:szCs w:val="20"/>
              </w:rPr>
              <w:t>133.1</w:t>
            </w:r>
          </w:p>
        </w:tc>
      </w:tr>
      <w:tr w:rsidR="00D93A6C" w14:paraId="2C92C2FE" w14:textId="77777777" w:rsidTr="00512433">
        <w:trPr>
          <w:trHeight w:val="242"/>
          <w:jc w:val="center"/>
        </w:trPr>
        <w:tc>
          <w:tcPr>
            <w:tcW w:w="1994" w:type="dxa"/>
            <w:shd w:val="clear" w:color="auto" w:fill="auto"/>
          </w:tcPr>
          <w:p w14:paraId="77F66724" w14:textId="77777777" w:rsidR="00D93A6C" w:rsidRPr="009C75E1" w:rsidRDefault="00D93A6C" w:rsidP="00D93A6C">
            <w:pPr>
              <w:keepNext/>
              <w:keepLines/>
              <w:rPr>
                <w:rFonts w:ascii="Arial" w:hAnsi="Arial" w:cs="Arial"/>
                <w:sz w:val="20"/>
                <w:szCs w:val="20"/>
              </w:rPr>
            </w:pPr>
            <w:r>
              <w:rPr>
                <w:rFonts w:ascii="Arial" w:hAnsi="Arial" w:cs="Arial"/>
                <w:sz w:val="20"/>
                <w:szCs w:val="20"/>
              </w:rPr>
              <w:t>Avg. Load Impact</w:t>
            </w:r>
          </w:p>
        </w:tc>
        <w:tc>
          <w:tcPr>
            <w:tcW w:w="1771" w:type="dxa"/>
            <w:shd w:val="clear" w:color="auto" w:fill="auto"/>
          </w:tcPr>
          <w:p w14:paraId="42DFBD19" w14:textId="7195E014" w:rsidR="00D93A6C" w:rsidRPr="009C75E1" w:rsidRDefault="00D93A6C" w:rsidP="00D93A6C">
            <w:pPr>
              <w:keepNext/>
              <w:keepLines/>
              <w:jc w:val="center"/>
              <w:rPr>
                <w:rFonts w:ascii="Arial" w:hAnsi="Arial" w:cs="Arial"/>
                <w:sz w:val="20"/>
                <w:szCs w:val="20"/>
              </w:rPr>
            </w:pPr>
            <w:r>
              <w:rPr>
                <w:rFonts w:ascii="Arial" w:hAnsi="Arial" w:cs="Arial"/>
                <w:sz w:val="20"/>
                <w:szCs w:val="20"/>
              </w:rPr>
              <w:t>82.8</w:t>
            </w:r>
          </w:p>
        </w:tc>
        <w:tc>
          <w:tcPr>
            <w:tcW w:w="1771" w:type="dxa"/>
            <w:shd w:val="clear" w:color="auto" w:fill="auto"/>
          </w:tcPr>
          <w:p w14:paraId="1C664D03" w14:textId="1FA7C286" w:rsidR="00D93A6C" w:rsidRPr="009C75E1" w:rsidRDefault="00D93A6C" w:rsidP="00D93A6C">
            <w:pPr>
              <w:keepNext/>
              <w:keepLines/>
              <w:jc w:val="center"/>
              <w:rPr>
                <w:rFonts w:ascii="Arial" w:hAnsi="Arial" w:cs="Arial"/>
                <w:sz w:val="20"/>
                <w:szCs w:val="20"/>
              </w:rPr>
            </w:pPr>
            <w:r>
              <w:rPr>
                <w:rFonts w:ascii="Arial" w:hAnsi="Arial" w:cs="Arial"/>
                <w:sz w:val="20"/>
                <w:szCs w:val="20"/>
              </w:rPr>
              <w:t>99.5</w:t>
            </w:r>
          </w:p>
        </w:tc>
        <w:tc>
          <w:tcPr>
            <w:tcW w:w="1772" w:type="dxa"/>
            <w:shd w:val="clear" w:color="auto" w:fill="auto"/>
          </w:tcPr>
          <w:p w14:paraId="1BA53945" w14:textId="016BED03" w:rsidR="00D93A6C" w:rsidRPr="009C75E1" w:rsidRDefault="00D93A6C" w:rsidP="00D93A6C">
            <w:pPr>
              <w:keepNext/>
              <w:keepLines/>
              <w:jc w:val="center"/>
              <w:rPr>
                <w:rFonts w:ascii="Arial" w:hAnsi="Arial" w:cs="Arial"/>
                <w:sz w:val="20"/>
                <w:szCs w:val="20"/>
              </w:rPr>
            </w:pPr>
            <w:r>
              <w:rPr>
                <w:rFonts w:ascii="Arial" w:hAnsi="Arial" w:cs="Arial"/>
                <w:sz w:val="20"/>
                <w:szCs w:val="20"/>
              </w:rPr>
              <w:t>106.7</w:t>
            </w:r>
          </w:p>
        </w:tc>
      </w:tr>
      <w:tr w:rsidR="00D93A6C" w14:paraId="63BB6262" w14:textId="77777777" w:rsidTr="00512433">
        <w:trPr>
          <w:jc w:val="center"/>
        </w:trPr>
        <w:tc>
          <w:tcPr>
            <w:tcW w:w="1994" w:type="dxa"/>
            <w:shd w:val="clear" w:color="auto" w:fill="auto"/>
          </w:tcPr>
          <w:p w14:paraId="154F4339" w14:textId="77777777" w:rsidR="00D93A6C" w:rsidRPr="009C75E1" w:rsidRDefault="00D93A6C" w:rsidP="00D93A6C">
            <w:pPr>
              <w:keepNext/>
              <w:keepLines/>
              <w:rPr>
                <w:rFonts w:ascii="Arial" w:hAnsi="Arial" w:cs="Arial"/>
                <w:sz w:val="20"/>
                <w:szCs w:val="20"/>
              </w:rPr>
            </w:pPr>
            <w:r>
              <w:rPr>
                <w:rFonts w:ascii="Arial" w:hAnsi="Arial" w:cs="Arial"/>
                <w:sz w:val="20"/>
                <w:szCs w:val="20"/>
              </w:rPr>
              <w:t>Realization Rate</w:t>
            </w:r>
          </w:p>
        </w:tc>
        <w:tc>
          <w:tcPr>
            <w:tcW w:w="1771" w:type="dxa"/>
            <w:shd w:val="clear" w:color="auto" w:fill="auto"/>
          </w:tcPr>
          <w:p w14:paraId="1CD296FC" w14:textId="1DC25667" w:rsidR="00D93A6C" w:rsidRPr="009C75E1" w:rsidRDefault="00D93A6C" w:rsidP="00D93A6C">
            <w:pPr>
              <w:keepNext/>
              <w:keepLines/>
              <w:jc w:val="center"/>
              <w:rPr>
                <w:rFonts w:ascii="Arial" w:hAnsi="Arial" w:cs="Arial"/>
                <w:sz w:val="20"/>
                <w:szCs w:val="20"/>
              </w:rPr>
            </w:pPr>
            <w:r>
              <w:rPr>
                <w:rFonts w:ascii="Arial" w:hAnsi="Arial" w:cs="Arial"/>
                <w:sz w:val="20"/>
                <w:szCs w:val="20"/>
              </w:rPr>
              <w:t>61.7%</w:t>
            </w:r>
          </w:p>
        </w:tc>
        <w:tc>
          <w:tcPr>
            <w:tcW w:w="1771" w:type="dxa"/>
            <w:shd w:val="clear" w:color="auto" w:fill="auto"/>
          </w:tcPr>
          <w:p w14:paraId="55F6FAA4" w14:textId="01DE51BF" w:rsidR="00D93A6C" w:rsidRPr="009C75E1" w:rsidRDefault="00D93A6C" w:rsidP="00D93A6C">
            <w:pPr>
              <w:keepNext/>
              <w:keepLines/>
              <w:jc w:val="center"/>
              <w:rPr>
                <w:rFonts w:ascii="Arial" w:hAnsi="Arial" w:cs="Arial"/>
                <w:sz w:val="20"/>
                <w:szCs w:val="20"/>
              </w:rPr>
            </w:pPr>
            <w:r>
              <w:rPr>
                <w:rFonts w:ascii="Arial" w:hAnsi="Arial" w:cs="Arial"/>
                <w:sz w:val="20"/>
                <w:szCs w:val="20"/>
              </w:rPr>
              <w:t>74.1%</w:t>
            </w:r>
          </w:p>
        </w:tc>
        <w:tc>
          <w:tcPr>
            <w:tcW w:w="1772" w:type="dxa"/>
            <w:shd w:val="clear" w:color="auto" w:fill="auto"/>
          </w:tcPr>
          <w:p w14:paraId="7EFA4F26" w14:textId="24704C88" w:rsidR="00D93A6C" w:rsidRPr="009C75E1" w:rsidRDefault="00D93A6C" w:rsidP="00D93A6C">
            <w:pPr>
              <w:keepNext/>
              <w:keepLines/>
              <w:jc w:val="center"/>
              <w:rPr>
                <w:rFonts w:ascii="Arial" w:hAnsi="Arial" w:cs="Arial"/>
                <w:sz w:val="20"/>
                <w:szCs w:val="20"/>
              </w:rPr>
            </w:pPr>
            <w:r>
              <w:rPr>
                <w:rFonts w:ascii="Arial" w:hAnsi="Arial" w:cs="Arial"/>
                <w:sz w:val="20"/>
                <w:szCs w:val="20"/>
              </w:rPr>
              <w:t>80.1%</w:t>
            </w:r>
          </w:p>
        </w:tc>
      </w:tr>
    </w:tbl>
    <w:p w14:paraId="26BA33ED" w14:textId="14E154F5" w:rsidR="002B724E" w:rsidRDefault="002B724E" w:rsidP="002B724E">
      <w:pPr>
        <w:pStyle w:val="Heading3"/>
      </w:pPr>
      <w:bookmarkStart w:id="321" w:name="_Toc383597960"/>
      <w:bookmarkStart w:id="322" w:name="_Toc415761855"/>
      <w:r w:rsidRPr="00F12E8B">
        <w:t xml:space="preserve">6.2.4 Current </w:t>
      </w:r>
      <w:r w:rsidR="00933F01" w:rsidRPr="00933F01">
        <w:rPr>
          <w:i/>
        </w:rPr>
        <w:t>ex-post</w:t>
      </w:r>
      <w:r w:rsidRPr="00F12E8B">
        <w:t xml:space="preserve"> versus current </w:t>
      </w:r>
      <w:r w:rsidR="00933F01" w:rsidRPr="00933F01">
        <w:rPr>
          <w:i/>
        </w:rPr>
        <w:t>ex-ante</w:t>
      </w:r>
      <w:bookmarkEnd w:id="321"/>
      <w:bookmarkEnd w:id="322"/>
    </w:p>
    <w:p w14:paraId="0067BE1E" w14:textId="77A16E58" w:rsidR="00F26572" w:rsidRDefault="00F12E8B" w:rsidP="002B724E">
      <w:r>
        <w:t xml:space="preserve">Table 6.11 compares the </w:t>
      </w:r>
      <w:r w:rsidR="00933F01" w:rsidRPr="00933F01">
        <w:rPr>
          <w:i/>
        </w:rPr>
        <w:t>ex-post</w:t>
      </w:r>
      <w:r>
        <w:t xml:space="preserve"> and </w:t>
      </w:r>
      <w:r w:rsidR="00933F01" w:rsidRPr="00933F01">
        <w:rPr>
          <w:i/>
        </w:rPr>
        <w:t>ex-ante</w:t>
      </w:r>
      <w:r>
        <w:t xml:space="preserve"> load impacts from this study, where the </w:t>
      </w:r>
      <w:r w:rsidR="00933F01" w:rsidRPr="00933F01">
        <w:rPr>
          <w:i/>
        </w:rPr>
        <w:t>ex-post</w:t>
      </w:r>
      <w:r>
        <w:t xml:space="preserve"> impacts are based on an average across the seven 2014 event days and the </w:t>
      </w:r>
      <w:r w:rsidR="00933F01" w:rsidRPr="00933F01">
        <w:rPr>
          <w:i/>
        </w:rPr>
        <w:t>ex-ante</w:t>
      </w:r>
      <w:r>
        <w:t xml:space="preserve"> load impacts are based on the 2015 typical event day in a utility-specific 1-in-2 weather year. Recall that a number of non-performing customers are removed from the program in early 2015, which explains the lower </w:t>
      </w:r>
      <w:r w:rsidR="00933F01" w:rsidRPr="00933F01">
        <w:rPr>
          <w:i/>
        </w:rPr>
        <w:t>ex-ante</w:t>
      </w:r>
      <w:r>
        <w:t xml:space="preserve"> enrollment and reference load values. However, because the removed customers did not provide load impacts during 2014, the program-level load impact remains quite constant, at 111 MW versus the 107 MW estimated for the PY2014 event days.</w:t>
      </w:r>
      <w:r w:rsidR="00E4274B">
        <w:t xml:space="preserve"> As expected, the removal of the non-performing customers also increases the average customer size, load impact, and the program-level percentage load impact.</w:t>
      </w:r>
    </w:p>
    <w:p w14:paraId="6244C3C3" w14:textId="77777777" w:rsidR="00F26572" w:rsidRDefault="00F26572" w:rsidP="00F26572"/>
    <w:p w14:paraId="031706AE" w14:textId="0378A580" w:rsidR="00F26572" w:rsidRPr="00376F46" w:rsidRDefault="00F26572" w:rsidP="00F26572">
      <w:pPr>
        <w:pStyle w:val="TableCaption"/>
        <w:keepNext/>
        <w:keepLines/>
      </w:pPr>
      <w:bookmarkStart w:id="323" w:name="_Toc415761904"/>
      <w:r w:rsidRPr="00376F46">
        <w:lastRenderedPageBreak/>
        <w:t xml:space="preserve">Table </w:t>
      </w:r>
      <w:r>
        <w:t>6</w:t>
      </w:r>
      <w:r w:rsidRPr="00376F46">
        <w:t>.</w:t>
      </w:r>
      <w:r>
        <w:t>11</w:t>
      </w:r>
      <w:r w:rsidRPr="00376F46">
        <w:t xml:space="preserve"> Comparison of </w:t>
      </w:r>
      <w:r>
        <w:t xml:space="preserve">Current </w:t>
      </w:r>
      <w:r w:rsidR="00933F01" w:rsidRPr="00933F01">
        <w:rPr>
          <w:i/>
        </w:rPr>
        <w:t>Ex-post</w:t>
      </w:r>
      <w:r>
        <w:t xml:space="preserve"> and </w:t>
      </w:r>
      <w:r w:rsidR="00933F01" w:rsidRPr="00933F01">
        <w:rPr>
          <w:i/>
        </w:rPr>
        <w:t>Ex-ante</w:t>
      </w:r>
      <w:r>
        <w:t xml:space="preserve"> </w:t>
      </w:r>
      <w:r w:rsidRPr="00376F46">
        <w:t>Impacts</w:t>
      </w:r>
      <w:r>
        <w:t>,</w:t>
      </w:r>
      <w:r w:rsidRPr="00376F46">
        <w:t xml:space="preserve"> </w:t>
      </w:r>
      <w:r>
        <w:rPr>
          <w:i/>
        </w:rPr>
        <w:t>SC</w:t>
      </w:r>
      <w:r w:rsidRPr="00376F46">
        <w:rPr>
          <w:i/>
        </w:rPr>
        <w:t>E</w:t>
      </w:r>
      <w:bookmarkEnd w:id="3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F26572" w14:paraId="4D82BA34" w14:textId="77777777" w:rsidTr="003A56B2">
        <w:trPr>
          <w:jc w:val="center"/>
        </w:trPr>
        <w:tc>
          <w:tcPr>
            <w:tcW w:w="1548" w:type="dxa"/>
            <w:shd w:val="clear" w:color="auto" w:fill="D9E2F3"/>
            <w:vAlign w:val="center"/>
          </w:tcPr>
          <w:p w14:paraId="2567F7D6" w14:textId="77777777" w:rsidR="00F26572" w:rsidRPr="009C75E1" w:rsidRDefault="00F26572" w:rsidP="003A56B2">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209B902F" w14:textId="77777777" w:rsidR="00F26572" w:rsidRPr="009C75E1" w:rsidRDefault="00F26572" w:rsidP="003A56B2">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407A3451" w14:textId="2CA86850" w:rsidR="00F26572" w:rsidRPr="009C75E1" w:rsidRDefault="00933F01" w:rsidP="003A56B2">
            <w:pPr>
              <w:keepNext/>
              <w:keepLines/>
              <w:jc w:val="center"/>
              <w:rPr>
                <w:rFonts w:ascii="Arial" w:hAnsi="Arial" w:cs="Arial"/>
                <w:b/>
                <w:sz w:val="20"/>
                <w:szCs w:val="20"/>
              </w:rPr>
            </w:pPr>
            <w:r w:rsidRPr="00933F01">
              <w:rPr>
                <w:rFonts w:ascii="Arial" w:hAnsi="Arial" w:cs="Arial"/>
                <w:b/>
                <w:i/>
                <w:sz w:val="20"/>
                <w:szCs w:val="20"/>
              </w:rPr>
              <w:t>Ex-post</w:t>
            </w:r>
            <w:r w:rsidR="00F26572">
              <w:rPr>
                <w:rFonts w:ascii="Arial" w:hAnsi="Arial" w:cs="Arial"/>
                <w:b/>
                <w:sz w:val="20"/>
                <w:szCs w:val="20"/>
              </w:rPr>
              <w:t xml:space="preserve"> Average Event Day, PY2014</w:t>
            </w:r>
          </w:p>
        </w:tc>
        <w:tc>
          <w:tcPr>
            <w:tcW w:w="1772" w:type="dxa"/>
            <w:shd w:val="clear" w:color="auto" w:fill="D9E2F3"/>
            <w:vAlign w:val="center"/>
          </w:tcPr>
          <w:p w14:paraId="2B35E443" w14:textId="555F3FED" w:rsidR="00F26572" w:rsidRPr="009C75E1" w:rsidRDefault="00933F01" w:rsidP="003A56B2">
            <w:pPr>
              <w:keepNext/>
              <w:keepLines/>
              <w:jc w:val="center"/>
              <w:rPr>
                <w:rFonts w:ascii="Arial" w:hAnsi="Arial" w:cs="Arial"/>
                <w:b/>
                <w:sz w:val="20"/>
                <w:szCs w:val="20"/>
              </w:rPr>
            </w:pPr>
            <w:r w:rsidRPr="00933F01">
              <w:rPr>
                <w:rFonts w:ascii="Arial" w:hAnsi="Arial" w:cs="Arial"/>
                <w:b/>
                <w:i/>
                <w:sz w:val="20"/>
                <w:szCs w:val="20"/>
              </w:rPr>
              <w:t>Ex-ante</w:t>
            </w:r>
            <w:r w:rsidR="00F26572">
              <w:rPr>
                <w:rFonts w:ascii="Arial" w:hAnsi="Arial" w:cs="Arial"/>
                <w:b/>
                <w:sz w:val="20"/>
                <w:szCs w:val="20"/>
              </w:rPr>
              <w:t xml:space="preserve"> Typical Event Day, 2015</w:t>
            </w:r>
          </w:p>
        </w:tc>
      </w:tr>
      <w:tr w:rsidR="00F26572" w14:paraId="1EAF4E11" w14:textId="77777777" w:rsidTr="003A56B2">
        <w:trPr>
          <w:jc w:val="center"/>
        </w:trPr>
        <w:tc>
          <w:tcPr>
            <w:tcW w:w="1548" w:type="dxa"/>
            <w:vMerge w:val="restart"/>
            <w:shd w:val="clear" w:color="auto" w:fill="auto"/>
            <w:vAlign w:val="center"/>
          </w:tcPr>
          <w:p w14:paraId="2B2E2AE4" w14:textId="77777777" w:rsidR="00F26572" w:rsidRPr="009C75E1" w:rsidRDefault="00F26572" w:rsidP="00F26572">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25304A0A" w14:textId="77777777" w:rsidR="00F26572" w:rsidRPr="009C75E1" w:rsidRDefault="00F26572" w:rsidP="00F26572">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tcPr>
          <w:p w14:paraId="489539F9" w14:textId="11EF3141" w:rsidR="00F26572" w:rsidRPr="009C75E1" w:rsidRDefault="00F26572" w:rsidP="00F26572">
            <w:pPr>
              <w:keepNext/>
              <w:keepLines/>
              <w:jc w:val="center"/>
              <w:rPr>
                <w:rFonts w:ascii="Arial" w:hAnsi="Arial" w:cs="Arial"/>
                <w:sz w:val="20"/>
                <w:szCs w:val="20"/>
              </w:rPr>
            </w:pPr>
            <w:r>
              <w:rPr>
                <w:rFonts w:ascii="Arial" w:hAnsi="Arial" w:cs="Arial"/>
                <w:sz w:val="20"/>
                <w:szCs w:val="20"/>
              </w:rPr>
              <w:t>944</w:t>
            </w:r>
          </w:p>
        </w:tc>
        <w:tc>
          <w:tcPr>
            <w:tcW w:w="1772" w:type="dxa"/>
            <w:shd w:val="clear" w:color="auto" w:fill="auto"/>
          </w:tcPr>
          <w:p w14:paraId="1FDDE538" w14:textId="795B7440" w:rsidR="00F26572" w:rsidRPr="009C75E1" w:rsidRDefault="00765E43" w:rsidP="00F26572">
            <w:pPr>
              <w:keepNext/>
              <w:keepLines/>
              <w:jc w:val="center"/>
              <w:rPr>
                <w:rFonts w:ascii="Arial" w:hAnsi="Arial" w:cs="Arial"/>
                <w:sz w:val="20"/>
                <w:szCs w:val="20"/>
              </w:rPr>
            </w:pPr>
            <w:r>
              <w:rPr>
                <w:rFonts w:ascii="Arial" w:hAnsi="Arial" w:cs="Arial"/>
                <w:sz w:val="20"/>
                <w:szCs w:val="20"/>
              </w:rPr>
              <w:t>772</w:t>
            </w:r>
          </w:p>
        </w:tc>
      </w:tr>
      <w:tr w:rsidR="00F26572" w14:paraId="1BD4A29D" w14:textId="77777777" w:rsidTr="003A56B2">
        <w:trPr>
          <w:trHeight w:val="242"/>
          <w:jc w:val="center"/>
        </w:trPr>
        <w:tc>
          <w:tcPr>
            <w:tcW w:w="1548" w:type="dxa"/>
            <w:vMerge/>
            <w:shd w:val="clear" w:color="auto" w:fill="auto"/>
            <w:vAlign w:val="center"/>
          </w:tcPr>
          <w:p w14:paraId="4652A8E8" w14:textId="77777777" w:rsidR="00F26572" w:rsidRPr="009C75E1" w:rsidRDefault="00F26572" w:rsidP="00F26572">
            <w:pPr>
              <w:keepNext/>
              <w:keepLines/>
              <w:rPr>
                <w:rFonts w:ascii="Arial" w:hAnsi="Arial" w:cs="Arial"/>
                <w:sz w:val="20"/>
                <w:szCs w:val="20"/>
              </w:rPr>
            </w:pPr>
          </w:p>
        </w:tc>
        <w:tc>
          <w:tcPr>
            <w:tcW w:w="1994" w:type="dxa"/>
            <w:shd w:val="clear" w:color="auto" w:fill="auto"/>
          </w:tcPr>
          <w:p w14:paraId="6C26B81A" w14:textId="77777777" w:rsidR="00F26572" w:rsidRPr="009C75E1" w:rsidRDefault="00F26572" w:rsidP="00F26572">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tcPr>
          <w:p w14:paraId="2471A5E6" w14:textId="20415159" w:rsidR="00F26572" w:rsidRPr="009C75E1" w:rsidRDefault="00F26572" w:rsidP="00F26572">
            <w:pPr>
              <w:keepNext/>
              <w:keepLines/>
              <w:jc w:val="center"/>
              <w:rPr>
                <w:rFonts w:ascii="Arial" w:hAnsi="Arial" w:cs="Arial"/>
                <w:sz w:val="20"/>
                <w:szCs w:val="20"/>
              </w:rPr>
            </w:pPr>
            <w:r>
              <w:rPr>
                <w:rFonts w:ascii="Arial" w:hAnsi="Arial" w:cs="Arial"/>
                <w:sz w:val="20"/>
                <w:szCs w:val="20"/>
              </w:rPr>
              <w:t>814</w:t>
            </w:r>
          </w:p>
        </w:tc>
        <w:tc>
          <w:tcPr>
            <w:tcW w:w="1772" w:type="dxa"/>
            <w:shd w:val="clear" w:color="auto" w:fill="auto"/>
          </w:tcPr>
          <w:p w14:paraId="36F62420" w14:textId="4487C38C" w:rsidR="00F26572" w:rsidRPr="009C75E1" w:rsidRDefault="00765E43" w:rsidP="00F26572">
            <w:pPr>
              <w:keepNext/>
              <w:keepLines/>
              <w:jc w:val="center"/>
              <w:rPr>
                <w:rFonts w:ascii="Arial" w:hAnsi="Arial" w:cs="Arial"/>
                <w:sz w:val="20"/>
                <w:szCs w:val="20"/>
              </w:rPr>
            </w:pPr>
            <w:r>
              <w:rPr>
                <w:rFonts w:ascii="Arial" w:hAnsi="Arial" w:cs="Arial"/>
                <w:sz w:val="20"/>
                <w:szCs w:val="20"/>
              </w:rPr>
              <w:t>691</w:t>
            </w:r>
          </w:p>
        </w:tc>
      </w:tr>
      <w:tr w:rsidR="00F26572" w14:paraId="5D8B55B5" w14:textId="77777777" w:rsidTr="003A56B2">
        <w:trPr>
          <w:jc w:val="center"/>
        </w:trPr>
        <w:tc>
          <w:tcPr>
            <w:tcW w:w="1548" w:type="dxa"/>
            <w:vMerge/>
            <w:shd w:val="clear" w:color="auto" w:fill="auto"/>
            <w:vAlign w:val="center"/>
          </w:tcPr>
          <w:p w14:paraId="476F2359" w14:textId="77777777" w:rsidR="00F26572" w:rsidRPr="009C75E1" w:rsidRDefault="00F26572" w:rsidP="00F26572">
            <w:pPr>
              <w:keepNext/>
              <w:keepLines/>
              <w:rPr>
                <w:rFonts w:ascii="Arial" w:hAnsi="Arial" w:cs="Arial"/>
                <w:sz w:val="20"/>
                <w:szCs w:val="20"/>
              </w:rPr>
            </w:pPr>
          </w:p>
        </w:tc>
        <w:tc>
          <w:tcPr>
            <w:tcW w:w="1994" w:type="dxa"/>
            <w:shd w:val="clear" w:color="auto" w:fill="auto"/>
          </w:tcPr>
          <w:p w14:paraId="0DABDDA9" w14:textId="77777777" w:rsidR="00F26572" w:rsidRPr="009C75E1" w:rsidRDefault="00F26572" w:rsidP="00F26572">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tcPr>
          <w:p w14:paraId="15634515" w14:textId="04DA88CB" w:rsidR="00F26572" w:rsidRPr="009C75E1" w:rsidRDefault="00F26572" w:rsidP="00F26572">
            <w:pPr>
              <w:keepNext/>
              <w:keepLines/>
              <w:jc w:val="center"/>
              <w:rPr>
                <w:rFonts w:ascii="Arial" w:hAnsi="Arial" w:cs="Arial"/>
                <w:sz w:val="20"/>
                <w:szCs w:val="20"/>
              </w:rPr>
            </w:pPr>
            <w:r>
              <w:rPr>
                <w:rFonts w:ascii="Arial" w:hAnsi="Arial" w:cs="Arial"/>
                <w:sz w:val="20"/>
                <w:szCs w:val="20"/>
              </w:rPr>
              <w:t>107</w:t>
            </w:r>
          </w:p>
        </w:tc>
        <w:tc>
          <w:tcPr>
            <w:tcW w:w="1772" w:type="dxa"/>
            <w:shd w:val="clear" w:color="auto" w:fill="auto"/>
          </w:tcPr>
          <w:p w14:paraId="1C5E024F" w14:textId="0136D230" w:rsidR="00F26572" w:rsidRPr="009C75E1" w:rsidRDefault="00765E43" w:rsidP="00F26572">
            <w:pPr>
              <w:keepNext/>
              <w:keepLines/>
              <w:jc w:val="center"/>
              <w:rPr>
                <w:rFonts w:ascii="Arial" w:hAnsi="Arial" w:cs="Arial"/>
                <w:sz w:val="20"/>
                <w:szCs w:val="20"/>
              </w:rPr>
            </w:pPr>
            <w:r>
              <w:rPr>
                <w:rFonts w:ascii="Arial" w:hAnsi="Arial" w:cs="Arial"/>
                <w:sz w:val="20"/>
                <w:szCs w:val="20"/>
              </w:rPr>
              <w:t>111</w:t>
            </w:r>
          </w:p>
        </w:tc>
      </w:tr>
      <w:tr w:rsidR="00F26572" w14:paraId="2E6A46C6" w14:textId="77777777" w:rsidTr="003A56B2">
        <w:trPr>
          <w:jc w:val="center"/>
        </w:trPr>
        <w:tc>
          <w:tcPr>
            <w:tcW w:w="1548" w:type="dxa"/>
            <w:vMerge w:val="restart"/>
            <w:shd w:val="clear" w:color="auto" w:fill="auto"/>
            <w:vAlign w:val="center"/>
          </w:tcPr>
          <w:p w14:paraId="4563E5C2" w14:textId="77777777" w:rsidR="00F26572" w:rsidRPr="009C75E1" w:rsidRDefault="00F26572" w:rsidP="00F26572">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2472179F" w14:textId="77777777" w:rsidR="00F26572" w:rsidRPr="009C75E1" w:rsidRDefault="00F26572" w:rsidP="00F26572">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tcPr>
          <w:p w14:paraId="480107ED" w14:textId="4EBE95D5" w:rsidR="00F26572" w:rsidRPr="009C75E1" w:rsidRDefault="00F26572" w:rsidP="00F26572">
            <w:pPr>
              <w:keepNext/>
              <w:keepLines/>
              <w:jc w:val="center"/>
              <w:rPr>
                <w:rFonts w:ascii="Arial" w:hAnsi="Arial" w:cs="Arial"/>
                <w:sz w:val="20"/>
                <w:szCs w:val="20"/>
              </w:rPr>
            </w:pPr>
            <w:r>
              <w:rPr>
                <w:rFonts w:ascii="Arial" w:hAnsi="Arial" w:cs="Arial"/>
                <w:sz w:val="20"/>
                <w:szCs w:val="20"/>
              </w:rPr>
              <w:t>862</w:t>
            </w:r>
          </w:p>
        </w:tc>
        <w:tc>
          <w:tcPr>
            <w:tcW w:w="1772" w:type="dxa"/>
            <w:shd w:val="clear" w:color="auto" w:fill="auto"/>
          </w:tcPr>
          <w:p w14:paraId="6A99EEC7" w14:textId="2F2A2FAA" w:rsidR="00F26572" w:rsidRPr="009C75E1" w:rsidRDefault="00765E43" w:rsidP="00F26572">
            <w:pPr>
              <w:keepNext/>
              <w:keepLines/>
              <w:jc w:val="center"/>
              <w:rPr>
                <w:rFonts w:ascii="Arial" w:hAnsi="Arial" w:cs="Arial"/>
                <w:sz w:val="20"/>
                <w:szCs w:val="20"/>
              </w:rPr>
            </w:pPr>
            <w:r>
              <w:rPr>
                <w:rFonts w:ascii="Arial" w:hAnsi="Arial" w:cs="Arial"/>
                <w:sz w:val="20"/>
                <w:szCs w:val="20"/>
              </w:rPr>
              <w:t>895</w:t>
            </w:r>
          </w:p>
        </w:tc>
      </w:tr>
      <w:tr w:rsidR="00F26572" w14:paraId="672053BB" w14:textId="77777777" w:rsidTr="003A56B2">
        <w:trPr>
          <w:jc w:val="center"/>
        </w:trPr>
        <w:tc>
          <w:tcPr>
            <w:tcW w:w="1548" w:type="dxa"/>
            <w:vMerge/>
            <w:shd w:val="clear" w:color="auto" w:fill="auto"/>
          </w:tcPr>
          <w:p w14:paraId="3E29E4C9" w14:textId="77777777" w:rsidR="00F26572" w:rsidRPr="009C75E1" w:rsidRDefault="00F26572" w:rsidP="00F26572">
            <w:pPr>
              <w:keepNext/>
              <w:keepLines/>
              <w:rPr>
                <w:rFonts w:ascii="Arial" w:hAnsi="Arial" w:cs="Arial"/>
                <w:sz w:val="20"/>
                <w:szCs w:val="20"/>
              </w:rPr>
            </w:pPr>
          </w:p>
        </w:tc>
        <w:tc>
          <w:tcPr>
            <w:tcW w:w="1994" w:type="dxa"/>
            <w:shd w:val="clear" w:color="auto" w:fill="auto"/>
          </w:tcPr>
          <w:p w14:paraId="683AB81A" w14:textId="77777777" w:rsidR="00F26572" w:rsidRPr="009C75E1" w:rsidRDefault="00F26572" w:rsidP="00F26572">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tcPr>
          <w:p w14:paraId="2FB5A96B" w14:textId="0086EE2A" w:rsidR="00F26572" w:rsidRPr="009C75E1" w:rsidRDefault="00F26572" w:rsidP="00F26572">
            <w:pPr>
              <w:keepNext/>
              <w:keepLines/>
              <w:jc w:val="center"/>
              <w:rPr>
                <w:rFonts w:ascii="Arial" w:hAnsi="Arial" w:cs="Arial"/>
                <w:sz w:val="20"/>
                <w:szCs w:val="20"/>
              </w:rPr>
            </w:pPr>
            <w:r>
              <w:rPr>
                <w:rFonts w:ascii="Arial" w:hAnsi="Arial" w:cs="Arial"/>
                <w:sz w:val="20"/>
                <w:szCs w:val="20"/>
              </w:rPr>
              <w:t>113</w:t>
            </w:r>
          </w:p>
        </w:tc>
        <w:tc>
          <w:tcPr>
            <w:tcW w:w="1772" w:type="dxa"/>
            <w:shd w:val="clear" w:color="auto" w:fill="auto"/>
          </w:tcPr>
          <w:p w14:paraId="67313DE4" w14:textId="00735764" w:rsidR="00F26572" w:rsidRPr="009C75E1" w:rsidRDefault="00765E43" w:rsidP="00F26572">
            <w:pPr>
              <w:keepNext/>
              <w:keepLines/>
              <w:jc w:val="center"/>
              <w:rPr>
                <w:rFonts w:ascii="Arial" w:hAnsi="Arial" w:cs="Arial"/>
                <w:sz w:val="20"/>
                <w:szCs w:val="20"/>
              </w:rPr>
            </w:pPr>
            <w:r>
              <w:rPr>
                <w:rFonts w:ascii="Arial" w:hAnsi="Arial" w:cs="Arial"/>
                <w:sz w:val="20"/>
                <w:szCs w:val="20"/>
              </w:rPr>
              <w:t>144</w:t>
            </w:r>
          </w:p>
        </w:tc>
      </w:tr>
      <w:tr w:rsidR="00F26572" w14:paraId="17D694CA" w14:textId="77777777" w:rsidTr="003A56B2">
        <w:trPr>
          <w:jc w:val="center"/>
        </w:trPr>
        <w:tc>
          <w:tcPr>
            <w:tcW w:w="1548" w:type="dxa"/>
            <w:vMerge/>
            <w:shd w:val="clear" w:color="auto" w:fill="auto"/>
          </w:tcPr>
          <w:p w14:paraId="5E390918" w14:textId="77777777" w:rsidR="00F26572" w:rsidRPr="009C75E1" w:rsidRDefault="00F26572" w:rsidP="00F26572">
            <w:pPr>
              <w:keepNext/>
              <w:keepLines/>
              <w:rPr>
                <w:rFonts w:ascii="Arial" w:hAnsi="Arial" w:cs="Arial"/>
                <w:sz w:val="20"/>
                <w:szCs w:val="20"/>
              </w:rPr>
            </w:pPr>
          </w:p>
        </w:tc>
        <w:tc>
          <w:tcPr>
            <w:tcW w:w="1994" w:type="dxa"/>
            <w:shd w:val="clear" w:color="auto" w:fill="auto"/>
          </w:tcPr>
          <w:p w14:paraId="4D1EC798" w14:textId="77777777" w:rsidR="00F26572" w:rsidRPr="009C75E1" w:rsidRDefault="00F26572" w:rsidP="00F26572">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tcPr>
          <w:p w14:paraId="30DBDEF2" w14:textId="536B764E" w:rsidR="00F26572" w:rsidRPr="009C75E1" w:rsidRDefault="00F26572" w:rsidP="00F26572">
            <w:pPr>
              <w:keepNext/>
              <w:keepLines/>
              <w:jc w:val="center"/>
              <w:rPr>
                <w:rFonts w:ascii="Arial" w:hAnsi="Arial" w:cs="Arial"/>
                <w:sz w:val="20"/>
                <w:szCs w:val="20"/>
              </w:rPr>
            </w:pPr>
            <w:r>
              <w:rPr>
                <w:rFonts w:ascii="Arial" w:hAnsi="Arial" w:cs="Arial"/>
                <w:sz w:val="20"/>
                <w:szCs w:val="20"/>
              </w:rPr>
              <w:t>13.1%</w:t>
            </w:r>
          </w:p>
        </w:tc>
        <w:tc>
          <w:tcPr>
            <w:tcW w:w="1772" w:type="dxa"/>
            <w:shd w:val="clear" w:color="auto" w:fill="auto"/>
          </w:tcPr>
          <w:p w14:paraId="7E04C3C0" w14:textId="63EC5302" w:rsidR="00F26572" w:rsidRPr="009C75E1" w:rsidRDefault="00765E43" w:rsidP="00F26572">
            <w:pPr>
              <w:keepNext/>
              <w:keepLines/>
              <w:jc w:val="center"/>
              <w:rPr>
                <w:rFonts w:ascii="Arial" w:hAnsi="Arial" w:cs="Arial"/>
                <w:sz w:val="20"/>
                <w:szCs w:val="20"/>
              </w:rPr>
            </w:pPr>
            <w:r>
              <w:rPr>
                <w:rFonts w:ascii="Arial" w:hAnsi="Arial" w:cs="Arial"/>
                <w:sz w:val="20"/>
                <w:szCs w:val="20"/>
              </w:rPr>
              <w:t>16.0%</w:t>
            </w:r>
          </w:p>
        </w:tc>
      </w:tr>
    </w:tbl>
    <w:p w14:paraId="1E16BC90" w14:textId="77777777" w:rsidR="00F26572" w:rsidRDefault="00F26572" w:rsidP="00F26572"/>
    <w:p w14:paraId="3FC7277B" w14:textId="07CFDB57" w:rsidR="002B724E" w:rsidRDefault="002B724E" w:rsidP="00F26572">
      <w:r>
        <w:t>Table 6.</w:t>
      </w:r>
      <w:r w:rsidR="00F26572">
        <w:t>12</w:t>
      </w:r>
      <w:r>
        <w:t xml:space="preserve"> describes the sources of differences between the </w:t>
      </w:r>
      <w:r w:rsidR="00933F01" w:rsidRPr="00933F01">
        <w:rPr>
          <w:i/>
        </w:rPr>
        <w:t>ex-post</w:t>
      </w:r>
      <w:r>
        <w:t xml:space="preserve"> and </w:t>
      </w:r>
      <w:r w:rsidR="00933F01" w:rsidRPr="00933F01">
        <w:rPr>
          <w:i/>
        </w:rPr>
        <w:t>ex-ante</w:t>
      </w:r>
      <w:r>
        <w:t xml:space="preserve"> load impacts, using the</w:t>
      </w:r>
      <w:r w:rsidR="00F26572">
        <w:t xml:space="preserve"> 2015 typical event day </w:t>
      </w:r>
      <w:r w:rsidR="0074039A">
        <w:t>with utility-specific 1</w:t>
      </w:r>
      <w:r>
        <w:t xml:space="preserve">-in-2 </w:t>
      </w:r>
      <w:r w:rsidR="0074039A">
        <w:t xml:space="preserve">weather conditions </w:t>
      </w:r>
      <w:r>
        <w:t xml:space="preserve">as the benchmark for comparison. </w:t>
      </w:r>
    </w:p>
    <w:p w14:paraId="2273C414" w14:textId="77777777" w:rsidR="00701FAA" w:rsidRDefault="00701FAA" w:rsidP="00F26572"/>
    <w:p w14:paraId="503997A0" w14:textId="425C47A9" w:rsidR="002B724E" w:rsidRPr="008E5D4C" w:rsidRDefault="002B724E" w:rsidP="002B724E">
      <w:pPr>
        <w:pStyle w:val="TableCaption"/>
        <w:keepNext/>
        <w:keepLines/>
      </w:pPr>
      <w:bookmarkStart w:id="324" w:name="_Toc383598024"/>
      <w:bookmarkStart w:id="325" w:name="_Toc415761905"/>
      <w:r w:rsidRPr="00E4274B">
        <w:lastRenderedPageBreak/>
        <w:t>Table 6.</w:t>
      </w:r>
      <w:r w:rsidR="00F26572" w:rsidRPr="00E4274B">
        <w:t>12</w:t>
      </w:r>
      <w:r w:rsidRPr="00E4274B">
        <w:t xml:space="preserve">: SCE </w:t>
      </w:r>
      <w:r w:rsidR="00933F01" w:rsidRPr="00933F01">
        <w:rPr>
          <w:i/>
        </w:rPr>
        <w:t>Ex-post</w:t>
      </w:r>
      <w:r w:rsidRPr="00E4274B">
        <w:t xml:space="preserve"> versus </w:t>
      </w:r>
      <w:r w:rsidR="00933F01" w:rsidRPr="00933F01">
        <w:rPr>
          <w:i/>
        </w:rPr>
        <w:t>Ex-ante</w:t>
      </w:r>
      <w:r w:rsidRPr="00E4274B">
        <w:t xml:space="preserve"> Factors</w:t>
      </w:r>
      <w:bookmarkEnd w:id="324"/>
      <w:bookmarkEnd w:id="325"/>
    </w:p>
    <w:tbl>
      <w:tblPr>
        <w:tblW w:w="9452" w:type="dxa"/>
        <w:jc w:val="center"/>
        <w:tblLook w:val="04A0" w:firstRow="1" w:lastRow="0" w:firstColumn="1" w:lastColumn="0" w:noHBand="0" w:noVBand="1"/>
      </w:tblPr>
      <w:tblGrid>
        <w:gridCol w:w="1518"/>
        <w:gridCol w:w="3028"/>
        <w:gridCol w:w="2340"/>
        <w:gridCol w:w="2566"/>
      </w:tblGrid>
      <w:tr w:rsidR="002B724E" w:rsidRPr="008E5D4C" w14:paraId="28694A48" w14:textId="77777777" w:rsidTr="00512433">
        <w:trPr>
          <w:trHeight w:val="510"/>
          <w:jc w:val="center"/>
        </w:trPr>
        <w:tc>
          <w:tcPr>
            <w:tcW w:w="151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C7AACB7" w14:textId="77777777" w:rsidR="002B724E" w:rsidRPr="008E5D4C" w:rsidRDefault="002B724E" w:rsidP="00512433">
            <w:pPr>
              <w:pStyle w:val="TableHeader"/>
              <w:keepNext/>
              <w:keepLines/>
              <w:rPr>
                <w:color w:val="auto"/>
                <w:szCs w:val="20"/>
              </w:rPr>
            </w:pPr>
            <w:r w:rsidRPr="008E5D4C">
              <w:rPr>
                <w:color w:val="auto"/>
                <w:szCs w:val="20"/>
              </w:rPr>
              <w:t>Factor</w:t>
            </w:r>
          </w:p>
        </w:tc>
        <w:tc>
          <w:tcPr>
            <w:tcW w:w="302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940CF49" w14:textId="45B72C42" w:rsidR="002B724E" w:rsidRPr="008E5D4C" w:rsidRDefault="00933F01" w:rsidP="00512433">
            <w:pPr>
              <w:pStyle w:val="TableHeader"/>
              <w:keepNext/>
              <w:keepLines/>
              <w:rPr>
                <w:color w:val="auto"/>
                <w:szCs w:val="20"/>
              </w:rPr>
            </w:pPr>
            <w:r w:rsidRPr="00933F01">
              <w:rPr>
                <w:i/>
                <w:color w:val="auto"/>
                <w:szCs w:val="20"/>
              </w:rPr>
              <w:t>Ex-post</w:t>
            </w:r>
          </w:p>
        </w:tc>
        <w:tc>
          <w:tcPr>
            <w:tcW w:w="234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65CDF16" w14:textId="50A4FA1C" w:rsidR="002B724E" w:rsidRPr="008E5D4C" w:rsidRDefault="00933F01" w:rsidP="00512433">
            <w:pPr>
              <w:pStyle w:val="TableHeader"/>
              <w:keepNext/>
              <w:keepLines/>
              <w:rPr>
                <w:color w:val="auto"/>
                <w:szCs w:val="20"/>
              </w:rPr>
            </w:pPr>
            <w:r w:rsidRPr="00933F01">
              <w:rPr>
                <w:i/>
                <w:color w:val="auto"/>
                <w:szCs w:val="20"/>
              </w:rPr>
              <w:t>Ex-ante</w:t>
            </w:r>
          </w:p>
        </w:tc>
        <w:tc>
          <w:tcPr>
            <w:tcW w:w="256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3E73858" w14:textId="77777777" w:rsidR="002B724E" w:rsidRPr="008E5D4C" w:rsidRDefault="002B724E" w:rsidP="00512433">
            <w:pPr>
              <w:pStyle w:val="TableHeader"/>
              <w:keepNext/>
              <w:keepLines/>
              <w:rPr>
                <w:color w:val="auto"/>
                <w:szCs w:val="20"/>
              </w:rPr>
            </w:pPr>
            <w:r w:rsidRPr="008E5D4C">
              <w:rPr>
                <w:color w:val="auto"/>
                <w:szCs w:val="20"/>
              </w:rPr>
              <w:t>Expected Impact</w:t>
            </w:r>
          </w:p>
        </w:tc>
      </w:tr>
      <w:tr w:rsidR="002B724E" w:rsidRPr="007F356D" w14:paraId="67037504" w14:textId="77777777" w:rsidTr="00512433">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6A537C7A" w14:textId="77777777" w:rsidR="002B724E" w:rsidRPr="008E5D4C" w:rsidRDefault="002B724E" w:rsidP="00512433">
            <w:pPr>
              <w:pStyle w:val="TableText"/>
              <w:keepNext/>
              <w:keepLines/>
              <w:jc w:val="left"/>
              <w:rPr>
                <w:sz w:val="20"/>
                <w:szCs w:val="20"/>
              </w:rPr>
            </w:pPr>
            <w:r w:rsidRPr="008E5D4C">
              <w:rPr>
                <w:sz w:val="20"/>
                <w:szCs w:val="20"/>
              </w:rPr>
              <w:t>Weather</w:t>
            </w:r>
          </w:p>
        </w:tc>
        <w:tc>
          <w:tcPr>
            <w:tcW w:w="3028" w:type="dxa"/>
            <w:tcBorders>
              <w:top w:val="single" w:sz="4" w:space="0" w:color="auto"/>
              <w:left w:val="nil"/>
              <w:bottom w:val="single" w:sz="4" w:space="0" w:color="auto"/>
              <w:right w:val="single" w:sz="4" w:space="0" w:color="auto"/>
            </w:tcBorders>
            <w:shd w:val="clear" w:color="auto" w:fill="auto"/>
            <w:noWrap/>
          </w:tcPr>
          <w:p w14:paraId="1FDB49BC" w14:textId="4C1AE000" w:rsidR="002B724E" w:rsidRPr="008E5D4C" w:rsidRDefault="002B724E" w:rsidP="00765E43">
            <w:pPr>
              <w:pStyle w:val="TableText"/>
              <w:keepNext/>
              <w:keepLines/>
              <w:spacing w:after="120"/>
              <w:jc w:val="left"/>
              <w:rPr>
                <w:rFonts w:cs="Calibri"/>
                <w:sz w:val="20"/>
                <w:szCs w:val="20"/>
              </w:rPr>
            </w:pPr>
            <w:r>
              <w:rPr>
                <w:rFonts w:cs="Calibri"/>
                <w:sz w:val="20"/>
                <w:szCs w:val="20"/>
              </w:rPr>
              <w:t>8</w:t>
            </w:r>
            <w:r w:rsidR="00765E43">
              <w:rPr>
                <w:rFonts w:cs="Calibri"/>
                <w:sz w:val="20"/>
                <w:szCs w:val="20"/>
              </w:rPr>
              <w:t>5.5</w:t>
            </w:r>
            <w:r>
              <w:rPr>
                <w:rFonts w:cs="Calibri"/>
                <w:sz w:val="20"/>
                <w:szCs w:val="20"/>
              </w:rPr>
              <w:t xml:space="preserve"> degrees Fahrenheit during event hours.</w:t>
            </w:r>
          </w:p>
        </w:tc>
        <w:tc>
          <w:tcPr>
            <w:tcW w:w="2340" w:type="dxa"/>
            <w:tcBorders>
              <w:top w:val="single" w:sz="4" w:space="0" w:color="auto"/>
              <w:left w:val="nil"/>
              <w:bottom w:val="single" w:sz="4" w:space="0" w:color="auto"/>
              <w:right w:val="single" w:sz="4" w:space="0" w:color="auto"/>
            </w:tcBorders>
            <w:shd w:val="clear" w:color="000000" w:fill="FFFFFF"/>
          </w:tcPr>
          <w:p w14:paraId="3AA87CFA" w14:textId="11834804" w:rsidR="002B724E" w:rsidRPr="008E5D4C" w:rsidRDefault="00765E43" w:rsidP="00765E43">
            <w:pPr>
              <w:pStyle w:val="TableText"/>
              <w:keepNext/>
              <w:keepLines/>
              <w:jc w:val="left"/>
              <w:rPr>
                <w:sz w:val="20"/>
                <w:szCs w:val="20"/>
              </w:rPr>
            </w:pPr>
            <w:r>
              <w:rPr>
                <w:rFonts w:cs="Calibri"/>
                <w:sz w:val="20"/>
                <w:szCs w:val="20"/>
              </w:rPr>
              <w:t>89.7</w:t>
            </w:r>
            <w:r w:rsidR="002B724E">
              <w:rPr>
                <w:rFonts w:cs="Calibri"/>
                <w:sz w:val="20"/>
                <w:szCs w:val="20"/>
              </w:rPr>
              <w:t xml:space="preserve"> degrees Fahrenheit during event hours on </w:t>
            </w:r>
            <w:r>
              <w:rPr>
                <w:rFonts w:cs="Calibri"/>
                <w:sz w:val="20"/>
                <w:szCs w:val="20"/>
              </w:rPr>
              <w:t xml:space="preserve">utility-specific </w:t>
            </w:r>
            <w:r w:rsidR="002B724E">
              <w:rPr>
                <w:rFonts w:cs="Calibri"/>
                <w:sz w:val="20"/>
                <w:szCs w:val="20"/>
              </w:rPr>
              <w:t>1-in-2</w:t>
            </w:r>
            <w:r>
              <w:rPr>
                <w:rFonts w:cs="Calibri"/>
                <w:sz w:val="20"/>
                <w:szCs w:val="20"/>
              </w:rPr>
              <w:t xml:space="preserve"> typical event</w:t>
            </w:r>
            <w:r w:rsidR="002B724E">
              <w:rPr>
                <w:rFonts w:cs="Calibri"/>
                <w:sz w:val="20"/>
                <w:szCs w:val="20"/>
              </w:rPr>
              <w:t xml:space="preserve"> day.</w:t>
            </w:r>
          </w:p>
        </w:tc>
        <w:tc>
          <w:tcPr>
            <w:tcW w:w="2566" w:type="dxa"/>
            <w:tcBorders>
              <w:top w:val="single" w:sz="4" w:space="0" w:color="auto"/>
              <w:left w:val="nil"/>
              <w:bottom w:val="single" w:sz="4" w:space="0" w:color="auto"/>
              <w:right w:val="single" w:sz="4" w:space="0" w:color="auto"/>
            </w:tcBorders>
            <w:shd w:val="clear" w:color="000000" w:fill="FFFFFF"/>
          </w:tcPr>
          <w:p w14:paraId="6CCF47D4" w14:textId="1D8B1A78" w:rsidR="002B724E" w:rsidRPr="008E5D4C" w:rsidRDefault="002B724E" w:rsidP="00597EB3">
            <w:pPr>
              <w:pStyle w:val="TableText"/>
              <w:keepNext/>
              <w:keepLines/>
              <w:jc w:val="left"/>
              <w:rPr>
                <w:sz w:val="20"/>
                <w:szCs w:val="20"/>
              </w:rPr>
            </w:pPr>
            <w:r>
              <w:rPr>
                <w:sz w:val="20"/>
                <w:szCs w:val="20"/>
              </w:rPr>
              <w:t xml:space="preserve">Hotter </w:t>
            </w:r>
            <w:r w:rsidR="00933F01" w:rsidRPr="00933F01">
              <w:rPr>
                <w:i/>
                <w:sz w:val="20"/>
                <w:szCs w:val="20"/>
              </w:rPr>
              <w:t>ex-ante</w:t>
            </w:r>
            <w:r>
              <w:rPr>
                <w:sz w:val="20"/>
                <w:szCs w:val="20"/>
              </w:rPr>
              <w:t xml:space="preserve"> weather increases the reference load somewhat but has a smaller effect on load impacts since the </w:t>
            </w:r>
            <w:r w:rsidR="00597EB3">
              <w:rPr>
                <w:sz w:val="20"/>
                <w:szCs w:val="20"/>
              </w:rPr>
              <w:t>most responsive customers are not weather sensitive</w:t>
            </w:r>
            <w:r>
              <w:rPr>
                <w:sz w:val="20"/>
                <w:szCs w:val="20"/>
              </w:rPr>
              <w:t>.</w:t>
            </w:r>
          </w:p>
        </w:tc>
      </w:tr>
      <w:tr w:rsidR="002B724E" w:rsidRPr="007F356D" w14:paraId="270525A6"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0AAD14F7" w14:textId="77777777" w:rsidR="002B724E" w:rsidRPr="008E5D4C" w:rsidRDefault="002B724E" w:rsidP="00512433">
            <w:pPr>
              <w:pStyle w:val="TableText"/>
              <w:keepNext/>
              <w:keepLines/>
              <w:jc w:val="left"/>
              <w:rPr>
                <w:sz w:val="20"/>
                <w:szCs w:val="20"/>
              </w:rPr>
            </w:pPr>
            <w:r w:rsidRPr="008E5D4C">
              <w:rPr>
                <w:sz w:val="20"/>
                <w:szCs w:val="20"/>
              </w:rPr>
              <w:t>Event window</w:t>
            </w:r>
          </w:p>
        </w:tc>
        <w:tc>
          <w:tcPr>
            <w:tcW w:w="3028" w:type="dxa"/>
            <w:tcBorders>
              <w:top w:val="nil"/>
              <w:left w:val="nil"/>
              <w:bottom w:val="single" w:sz="4" w:space="0" w:color="auto"/>
              <w:right w:val="single" w:sz="4" w:space="0" w:color="auto"/>
            </w:tcBorders>
            <w:shd w:val="clear" w:color="auto" w:fill="auto"/>
            <w:noWrap/>
          </w:tcPr>
          <w:p w14:paraId="2D09FA89" w14:textId="77777777" w:rsidR="002B724E" w:rsidRPr="008E5D4C" w:rsidRDefault="002B724E" w:rsidP="00512433">
            <w:pPr>
              <w:pStyle w:val="TableText"/>
              <w:keepNext/>
              <w:keepLines/>
              <w:jc w:val="left"/>
              <w:rPr>
                <w:rFonts w:cs="Calibri"/>
                <w:sz w:val="20"/>
                <w:szCs w:val="20"/>
              </w:rPr>
            </w:pPr>
            <w:r>
              <w:rPr>
                <w:rFonts w:cs="Calibri"/>
                <w:sz w:val="20"/>
                <w:szCs w:val="20"/>
              </w:rPr>
              <w:t>HE 13-20.</w:t>
            </w:r>
          </w:p>
        </w:tc>
        <w:tc>
          <w:tcPr>
            <w:tcW w:w="2340" w:type="dxa"/>
            <w:tcBorders>
              <w:top w:val="nil"/>
              <w:left w:val="nil"/>
              <w:bottom w:val="single" w:sz="4" w:space="0" w:color="auto"/>
              <w:right w:val="single" w:sz="4" w:space="0" w:color="auto"/>
            </w:tcBorders>
            <w:shd w:val="clear" w:color="000000" w:fill="FFFFFF"/>
          </w:tcPr>
          <w:p w14:paraId="72DD1316" w14:textId="77777777" w:rsidR="002B724E" w:rsidRDefault="002B724E" w:rsidP="00512433">
            <w:pPr>
              <w:pStyle w:val="TableText"/>
              <w:keepNext/>
              <w:keepLines/>
              <w:jc w:val="left"/>
              <w:rPr>
                <w:sz w:val="20"/>
                <w:szCs w:val="20"/>
              </w:rPr>
            </w:pPr>
            <w:r>
              <w:rPr>
                <w:sz w:val="20"/>
                <w:szCs w:val="20"/>
              </w:rPr>
              <w:t>HE 14-18 in Apr-Oct;</w:t>
            </w:r>
          </w:p>
          <w:p w14:paraId="26323179" w14:textId="77777777" w:rsidR="002B724E" w:rsidRPr="008E5D4C" w:rsidRDefault="002B724E" w:rsidP="00512433">
            <w:pPr>
              <w:pStyle w:val="TableText"/>
              <w:keepNext/>
              <w:keepLines/>
              <w:jc w:val="left"/>
              <w:rPr>
                <w:sz w:val="20"/>
                <w:szCs w:val="20"/>
              </w:rPr>
            </w:pPr>
            <w:r>
              <w:rPr>
                <w:sz w:val="20"/>
                <w:szCs w:val="20"/>
              </w:rPr>
              <w:t>HE 17-21 in Nov-Mar.</w:t>
            </w:r>
          </w:p>
        </w:tc>
        <w:tc>
          <w:tcPr>
            <w:tcW w:w="2566" w:type="dxa"/>
            <w:tcBorders>
              <w:top w:val="nil"/>
              <w:left w:val="nil"/>
              <w:bottom w:val="single" w:sz="4" w:space="0" w:color="auto"/>
              <w:right w:val="single" w:sz="4" w:space="0" w:color="auto"/>
            </w:tcBorders>
            <w:shd w:val="clear" w:color="000000" w:fill="FFFFFF"/>
          </w:tcPr>
          <w:p w14:paraId="6EA0B9CF" w14:textId="77777777" w:rsidR="002B724E" w:rsidRPr="008E5D4C" w:rsidRDefault="002B724E" w:rsidP="00512433">
            <w:pPr>
              <w:pStyle w:val="TableText"/>
              <w:keepNext/>
              <w:keepLines/>
              <w:jc w:val="left"/>
              <w:rPr>
                <w:sz w:val="20"/>
                <w:szCs w:val="20"/>
              </w:rPr>
            </w:pPr>
            <w:r>
              <w:rPr>
                <w:sz w:val="20"/>
                <w:szCs w:val="20"/>
              </w:rPr>
              <w:t>Minimal in summer; non-summer load impacts are speculative as we have not observed events in those months.</w:t>
            </w:r>
          </w:p>
        </w:tc>
      </w:tr>
      <w:tr w:rsidR="002B724E" w:rsidRPr="007F356D" w14:paraId="63B3F403"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0B821711" w14:textId="77777777" w:rsidR="002B724E" w:rsidRPr="008E5D4C" w:rsidRDefault="002B724E" w:rsidP="00512433">
            <w:pPr>
              <w:pStyle w:val="TableText"/>
              <w:keepNext/>
              <w:keepLines/>
              <w:jc w:val="left"/>
              <w:rPr>
                <w:sz w:val="20"/>
                <w:szCs w:val="20"/>
              </w:rPr>
            </w:pPr>
            <w:r w:rsidRPr="008E5D4C">
              <w:rPr>
                <w:sz w:val="20"/>
                <w:szCs w:val="20"/>
              </w:rPr>
              <w:t>% of resource dispatched</w:t>
            </w:r>
          </w:p>
        </w:tc>
        <w:tc>
          <w:tcPr>
            <w:tcW w:w="3028" w:type="dxa"/>
            <w:tcBorders>
              <w:top w:val="nil"/>
              <w:left w:val="nil"/>
              <w:bottom w:val="single" w:sz="4" w:space="0" w:color="auto"/>
              <w:right w:val="single" w:sz="4" w:space="0" w:color="auto"/>
            </w:tcBorders>
            <w:shd w:val="clear" w:color="auto" w:fill="auto"/>
            <w:noWrap/>
          </w:tcPr>
          <w:p w14:paraId="18BB9EC6" w14:textId="77777777" w:rsidR="002B724E" w:rsidRPr="008E5D4C" w:rsidRDefault="002B724E" w:rsidP="00512433">
            <w:pPr>
              <w:pStyle w:val="TableText"/>
              <w:keepNext/>
              <w:keepLines/>
              <w:jc w:val="left"/>
              <w:rPr>
                <w:rFonts w:cs="Calibri"/>
                <w:sz w:val="20"/>
                <w:szCs w:val="20"/>
              </w:rPr>
            </w:pPr>
            <w:r>
              <w:rPr>
                <w:rFonts w:cs="Calibri"/>
                <w:sz w:val="20"/>
                <w:szCs w:val="20"/>
              </w:rPr>
              <w:t>All customers were called.</w:t>
            </w:r>
          </w:p>
        </w:tc>
        <w:tc>
          <w:tcPr>
            <w:tcW w:w="2340" w:type="dxa"/>
            <w:tcBorders>
              <w:top w:val="nil"/>
              <w:left w:val="nil"/>
              <w:bottom w:val="single" w:sz="4" w:space="0" w:color="auto"/>
              <w:right w:val="single" w:sz="4" w:space="0" w:color="auto"/>
            </w:tcBorders>
            <w:shd w:val="clear" w:color="000000" w:fill="FFFFFF"/>
          </w:tcPr>
          <w:p w14:paraId="70C6E339" w14:textId="77777777" w:rsidR="002B724E" w:rsidRPr="008E5D4C" w:rsidRDefault="002B724E" w:rsidP="00512433">
            <w:pPr>
              <w:pStyle w:val="TableText"/>
              <w:keepNext/>
              <w:keepLines/>
              <w:jc w:val="left"/>
              <w:rPr>
                <w:sz w:val="20"/>
                <w:szCs w:val="20"/>
              </w:rPr>
            </w:pPr>
            <w:r>
              <w:rPr>
                <w:sz w:val="20"/>
                <w:szCs w:val="20"/>
              </w:rPr>
              <w:t>Assume all customers are called.</w:t>
            </w:r>
          </w:p>
        </w:tc>
        <w:tc>
          <w:tcPr>
            <w:tcW w:w="2566" w:type="dxa"/>
            <w:tcBorders>
              <w:top w:val="nil"/>
              <w:left w:val="nil"/>
              <w:bottom w:val="single" w:sz="4" w:space="0" w:color="auto"/>
              <w:right w:val="single" w:sz="4" w:space="0" w:color="auto"/>
            </w:tcBorders>
            <w:shd w:val="clear" w:color="000000" w:fill="FFFFFF"/>
          </w:tcPr>
          <w:p w14:paraId="190804FC" w14:textId="50336335" w:rsidR="002B724E" w:rsidRPr="008E5D4C" w:rsidRDefault="002B724E" w:rsidP="00512433">
            <w:pPr>
              <w:pStyle w:val="TableText"/>
              <w:keepNext/>
              <w:keepLines/>
              <w:jc w:val="left"/>
              <w:rPr>
                <w:sz w:val="20"/>
                <w:szCs w:val="20"/>
              </w:rPr>
            </w:pPr>
            <w:r>
              <w:rPr>
                <w:sz w:val="20"/>
                <w:szCs w:val="20"/>
              </w:rPr>
              <w:t xml:space="preserve">None. The </w:t>
            </w:r>
            <w:r w:rsidR="00933F01" w:rsidRPr="00933F01">
              <w:rPr>
                <w:i/>
                <w:sz w:val="20"/>
                <w:szCs w:val="20"/>
              </w:rPr>
              <w:t>ex-ante</w:t>
            </w:r>
            <w:r>
              <w:rPr>
                <w:sz w:val="20"/>
                <w:szCs w:val="20"/>
              </w:rPr>
              <w:t xml:space="preserve"> method assumes that all enrolled customers are dispatched.</w:t>
            </w:r>
          </w:p>
        </w:tc>
      </w:tr>
      <w:tr w:rsidR="002B724E" w:rsidRPr="007F356D" w14:paraId="7F884E54"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09A50756" w14:textId="77777777" w:rsidR="002B724E" w:rsidRPr="008E5D4C" w:rsidRDefault="002B724E" w:rsidP="00512433">
            <w:pPr>
              <w:pStyle w:val="TableText"/>
              <w:keepNext/>
              <w:keepLines/>
              <w:jc w:val="left"/>
              <w:rPr>
                <w:sz w:val="20"/>
                <w:szCs w:val="20"/>
              </w:rPr>
            </w:pPr>
            <w:r w:rsidRPr="008E5D4C">
              <w:rPr>
                <w:sz w:val="20"/>
                <w:szCs w:val="20"/>
              </w:rPr>
              <w:t>Enrollment</w:t>
            </w:r>
          </w:p>
        </w:tc>
        <w:tc>
          <w:tcPr>
            <w:tcW w:w="3028" w:type="dxa"/>
            <w:tcBorders>
              <w:top w:val="nil"/>
              <w:left w:val="nil"/>
              <w:bottom w:val="single" w:sz="4" w:space="0" w:color="auto"/>
              <w:right w:val="single" w:sz="4" w:space="0" w:color="auto"/>
            </w:tcBorders>
            <w:shd w:val="clear" w:color="auto" w:fill="auto"/>
            <w:noWrap/>
          </w:tcPr>
          <w:p w14:paraId="1B172578" w14:textId="0B41E8FF" w:rsidR="002B724E" w:rsidRPr="008E5D4C" w:rsidRDefault="00597EB3" w:rsidP="00597EB3">
            <w:pPr>
              <w:pStyle w:val="TableText"/>
              <w:keepNext/>
              <w:keepLines/>
              <w:jc w:val="left"/>
              <w:rPr>
                <w:rFonts w:cs="Calibri"/>
                <w:sz w:val="20"/>
                <w:szCs w:val="20"/>
              </w:rPr>
            </w:pPr>
            <w:r>
              <w:rPr>
                <w:rFonts w:cs="Calibri"/>
                <w:sz w:val="20"/>
                <w:szCs w:val="20"/>
              </w:rPr>
              <w:t>944</w:t>
            </w:r>
            <w:r w:rsidR="002B724E">
              <w:rPr>
                <w:rFonts w:cs="Calibri"/>
                <w:sz w:val="20"/>
                <w:szCs w:val="20"/>
              </w:rPr>
              <w:t xml:space="preserve"> SAIDs during the average event day.</w:t>
            </w:r>
          </w:p>
        </w:tc>
        <w:tc>
          <w:tcPr>
            <w:tcW w:w="2340" w:type="dxa"/>
            <w:tcBorders>
              <w:top w:val="nil"/>
              <w:left w:val="nil"/>
              <w:bottom w:val="single" w:sz="4" w:space="0" w:color="auto"/>
              <w:right w:val="single" w:sz="4" w:space="0" w:color="auto"/>
            </w:tcBorders>
            <w:shd w:val="clear" w:color="000000" w:fill="FFFFFF"/>
          </w:tcPr>
          <w:p w14:paraId="62051B0C" w14:textId="20EDFE9A" w:rsidR="002B724E" w:rsidRPr="008E5D4C" w:rsidRDefault="00597EB3" w:rsidP="00597EB3">
            <w:pPr>
              <w:pStyle w:val="TableText"/>
              <w:keepNext/>
              <w:keepLines/>
              <w:jc w:val="left"/>
              <w:rPr>
                <w:sz w:val="20"/>
                <w:szCs w:val="20"/>
              </w:rPr>
            </w:pPr>
            <w:r>
              <w:rPr>
                <w:sz w:val="20"/>
                <w:szCs w:val="20"/>
              </w:rPr>
              <w:t>772</w:t>
            </w:r>
            <w:r w:rsidR="002B724E">
              <w:rPr>
                <w:sz w:val="20"/>
                <w:szCs w:val="20"/>
              </w:rPr>
              <w:t xml:space="preserve"> SAIDs in August 201</w:t>
            </w:r>
            <w:r>
              <w:rPr>
                <w:sz w:val="20"/>
                <w:szCs w:val="20"/>
              </w:rPr>
              <w:t>5</w:t>
            </w:r>
            <w:r w:rsidR="002B724E">
              <w:rPr>
                <w:sz w:val="20"/>
                <w:szCs w:val="20"/>
              </w:rPr>
              <w:t>.</w:t>
            </w:r>
          </w:p>
        </w:tc>
        <w:tc>
          <w:tcPr>
            <w:tcW w:w="2566" w:type="dxa"/>
            <w:tcBorders>
              <w:top w:val="nil"/>
              <w:left w:val="nil"/>
              <w:bottom w:val="single" w:sz="4" w:space="0" w:color="auto"/>
              <w:right w:val="single" w:sz="4" w:space="0" w:color="auto"/>
            </w:tcBorders>
            <w:shd w:val="clear" w:color="000000" w:fill="FFFFFF"/>
          </w:tcPr>
          <w:p w14:paraId="78EB8CDF" w14:textId="0ABA70DF" w:rsidR="002B724E" w:rsidRPr="008E5D4C" w:rsidRDefault="002B724E" w:rsidP="00597EB3">
            <w:pPr>
              <w:pStyle w:val="TableText"/>
              <w:keepNext/>
              <w:keepLines/>
              <w:jc w:val="left"/>
              <w:rPr>
                <w:sz w:val="20"/>
                <w:szCs w:val="20"/>
              </w:rPr>
            </w:pPr>
            <w:r>
              <w:rPr>
                <w:sz w:val="20"/>
                <w:szCs w:val="20"/>
              </w:rPr>
              <w:t>Removal of non-perform</w:t>
            </w:r>
            <w:r w:rsidR="00597EB3">
              <w:rPr>
                <w:sz w:val="20"/>
                <w:szCs w:val="20"/>
              </w:rPr>
              <w:t>ing customers reduces enrollment reference load, but not program-level load impacts</w:t>
            </w:r>
            <w:r>
              <w:rPr>
                <w:sz w:val="20"/>
                <w:szCs w:val="20"/>
              </w:rPr>
              <w:t xml:space="preserve">. </w:t>
            </w:r>
          </w:p>
        </w:tc>
      </w:tr>
      <w:tr w:rsidR="002B724E" w:rsidRPr="007F356D" w14:paraId="4FB519F9" w14:textId="77777777" w:rsidTr="0051243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2B31EE85" w14:textId="77777777" w:rsidR="002B724E" w:rsidRPr="008E5D4C" w:rsidRDefault="002B724E" w:rsidP="00512433">
            <w:pPr>
              <w:pStyle w:val="TableText"/>
              <w:keepNext/>
              <w:keepLines/>
              <w:jc w:val="left"/>
              <w:rPr>
                <w:sz w:val="20"/>
                <w:szCs w:val="20"/>
              </w:rPr>
            </w:pPr>
            <w:r w:rsidRPr="008E5D4C">
              <w:rPr>
                <w:sz w:val="20"/>
                <w:szCs w:val="20"/>
              </w:rPr>
              <w:t>Methodology</w:t>
            </w:r>
          </w:p>
        </w:tc>
        <w:tc>
          <w:tcPr>
            <w:tcW w:w="3028" w:type="dxa"/>
            <w:tcBorders>
              <w:top w:val="nil"/>
              <w:left w:val="nil"/>
              <w:bottom w:val="single" w:sz="4" w:space="0" w:color="auto"/>
              <w:right w:val="single" w:sz="4" w:space="0" w:color="auto"/>
            </w:tcBorders>
            <w:shd w:val="clear" w:color="auto" w:fill="auto"/>
            <w:noWrap/>
          </w:tcPr>
          <w:p w14:paraId="35981D7D" w14:textId="77777777" w:rsidR="002B724E" w:rsidRPr="008E5D4C" w:rsidRDefault="002B724E" w:rsidP="00512433">
            <w:pPr>
              <w:pStyle w:val="TableText"/>
              <w:keepNext/>
              <w:keepLines/>
              <w:spacing w:after="120"/>
              <w:jc w:val="left"/>
              <w:rPr>
                <w:rFonts w:cs="Calibri"/>
                <w:sz w:val="20"/>
                <w:szCs w:val="20"/>
              </w:rPr>
            </w:pPr>
            <w:r>
              <w:rPr>
                <w:rFonts w:cs="Calibri"/>
                <w:sz w:val="20"/>
                <w:szCs w:val="20"/>
              </w:rPr>
              <w:t>SAID-specific regressions using own within-subject analysis.</w:t>
            </w:r>
          </w:p>
        </w:tc>
        <w:tc>
          <w:tcPr>
            <w:tcW w:w="2340" w:type="dxa"/>
            <w:tcBorders>
              <w:top w:val="nil"/>
              <w:left w:val="nil"/>
              <w:bottom w:val="single" w:sz="4" w:space="0" w:color="auto"/>
              <w:right w:val="single" w:sz="4" w:space="0" w:color="auto"/>
            </w:tcBorders>
            <w:shd w:val="clear" w:color="000000" w:fill="FFFFFF"/>
          </w:tcPr>
          <w:p w14:paraId="27B00E97" w14:textId="77777777" w:rsidR="002B724E" w:rsidRPr="008E5D4C" w:rsidRDefault="002B724E" w:rsidP="00512433">
            <w:pPr>
              <w:pStyle w:val="TableText"/>
              <w:keepNext/>
              <w:keepLines/>
              <w:jc w:val="left"/>
              <w:rPr>
                <w:sz w:val="20"/>
                <w:szCs w:val="20"/>
              </w:rPr>
            </w:pPr>
            <w:r>
              <w:rPr>
                <w:sz w:val="20"/>
                <w:szCs w:val="20"/>
              </w:rPr>
              <w:t xml:space="preserve">Reference loads are simulated from </w:t>
            </w:r>
            <w:r>
              <w:rPr>
                <w:rFonts w:cs="Calibri"/>
                <w:sz w:val="20"/>
                <w:szCs w:val="20"/>
              </w:rPr>
              <w:t>SAID-specific regressions. Load impacts are based on (up to) 3-years of SAID-specific load impacts.</w:t>
            </w:r>
          </w:p>
        </w:tc>
        <w:tc>
          <w:tcPr>
            <w:tcW w:w="2566" w:type="dxa"/>
            <w:tcBorders>
              <w:top w:val="nil"/>
              <w:left w:val="nil"/>
              <w:bottom w:val="single" w:sz="4" w:space="0" w:color="auto"/>
              <w:right w:val="single" w:sz="4" w:space="0" w:color="auto"/>
            </w:tcBorders>
            <w:shd w:val="clear" w:color="000000" w:fill="FFFFFF"/>
          </w:tcPr>
          <w:p w14:paraId="282C89F4" w14:textId="1E4EBE29" w:rsidR="002B724E" w:rsidRPr="008E5D4C" w:rsidRDefault="002B724E" w:rsidP="00597EB3">
            <w:pPr>
              <w:pStyle w:val="TableText"/>
              <w:keepNext/>
              <w:keepLines/>
              <w:jc w:val="left"/>
              <w:rPr>
                <w:sz w:val="20"/>
                <w:szCs w:val="20"/>
              </w:rPr>
            </w:pPr>
            <w:r>
              <w:rPr>
                <w:sz w:val="20"/>
                <w:szCs w:val="20"/>
              </w:rPr>
              <w:t xml:space="preserve">Use of 3 years of load impacts </w:t>
            </w:r>
            <w:r w:rsidR="00597EB3">
              <w:rPr>
                <w:sz w:val="20"/>
                <w:szCs w:val="20"/>
              </w:rPr>
              <w:t xml:space="preserve">increases </w:t>
            </w:r>
            <w:r>
              <w:rPr>
                <w:sz w:val="20"/>
                <w:szCs w:val="20"/>
              </w:rPr>
              <w:t xml:space="preserve">percentage load impacts relative to current-year </w:t>
            </w:r>
            <w:r w:rsidR="00933F01" w:rsidRPr="00933F01">
              <w:rPr>
                <w:i/>
                <w:sz w:val="20"/>
                <w:szCs w:val="20"/>
              </w:rPr>
              <w:t>ex-post</w:t>
            </w:r>
            <w:r>
              <w:rPr>
                <w:sz w:val="20"/>
                <w:szCs w:val="20"/>
              </w:rPr>
              <w:t xml:space="preserve"> estimates because PY1</w:t>
            </w:r>
            <w:r w:rsidR="00597EB3">
              <w:rPr>
                <w:sz w:val="20"/>
                <w:szCs w:val="20"/>
              </w:rPr>
              <w:t>4</w:t>
            </w:r>
            <w:r>
              <w:rPr>
                <w:sz w:val="20"/>
                <w:szCs w:val="20"/>
              </w:rPr>
              <w:t xml:space="preserve"> had </w:t>
            </w:r>
            <w:r w:rsidR="00597EB3">
              <w:rPr>
                <w:sz w:val="20"/>
                <w:szCs w:val="20"/>
              </w:rPr>
              <w:t xml:space="preserve">lower </w:t>
            </w:r>
            <w:r>
              <w:rPr>
                <w:sz w:val="20"/>
                <w:szCs w:val="20"/>
              </w:rPr>
              <w:t>%LI than PY1</w:t>
            </w:r>
            <w:r w:rsidR="00597EB3">
              <w:rPr>
                <w:sz w:val="20"/>
                <w:szCs w:val="20"/>
              </w:rPr>
              <w:t>2-13</w:t>
            </w:r>
            <w:r>
              <w:rPr>
                <w:sz w:val="20"/>
                <w:szCs w:val="20"/>
              </w:rPr>
              <w:t>.</w:t>
            </w:r>
            <w:r w:rsidR="00F12E8B">
              <w:rPr>
                <w:rStyle w:val="FootnoteReference"/>
                <w:sz w:val="20"/>
                <w:szCs w:val="20"/>
              </w:rPr>
              <w:footnoteReference w:id="14"/>
            </w:r>
          </w:p>
        </w:tc>
      </w:tr>
    </w:tbl>
    <w:p w14:paraId="71B25878" w14:textId="77777777" w:rsidR="002B724E" w:rsidRDefault="002B724E" w:rsidP="002B724E"/>
    <w:p w14:paraId="7165E798" w14:textId="26649259" w:rsidR="00A77532" w:rsidRDefault="00701FAA" w:rsidP="002B724E">
      <w:r>
        <w:t xml:space="preserve">The </w:t>
      </w:r>
      <w:r w:rsidR="00933F01" w:rsidRPr="00933F01">
        <w:rPr>
          <w:i/>
        </w:rPr>
        <w:t>ex-post</w:t>
      </w:r>
      <w:r>
        <w:t xml:space="preserve"> and </w:t>
      </w:r>
      <w:r w:rsidR="00933F01" w:rsidRPr="00933F01">
        <w:rPr>
          <w:i/>
        </w:rPr>
        <w:t>ex-ante</w:t>
      </w:r>
      <w:r>
        <w:t xml:space="preserve"> load impacts are quite close at the program level (107 vs. 111 MW, respectively). The differences are primarily due to three factors</w:t>
      </w:r>
      <w:r w:rsidR="00A77532">
        <w:t>, which are illustrated in Table 6.13</w:t>
      </w:r>
      <w:r>
        <w:t xml:space="preserve">. First, the use of three years of </w:t>
      </w:r>
      <w:r w:rsidR="00933F01" w:rsidRPr="00933F01">
        <w:rPr>
          <w:i/>
        </w:rPr>
        <w:t>ex-post</w:t>
      </w:r>
      <w:r>
        <w:t xml:space="preserve"> results in the </w:t>
      </w:r>
      <w:r w:rsidR="00933F01" w:rsidRPr="00933F01">
        <w:rPr>
          <w:i/>
        </w:rPr>
        <w:t>ex-ante</w:t>
      </w:r>
      <w:r>
        <w:t xml:space="preserve"> analysis increases the program-level load impact.</w:t>
      </w:r>
      <w:r w:rsidR="00A77532">
        <w:t xml:space="preserve"> As the table shows, the </w:t>
      </w:r>
      <w:r w:rsidR="00933F01" w:rsidRPr="00933F01">
        <w:rPr>
          <w:i/>
        </w:rPr>
        <w:t>ex-post</w:t>
      </w:r>
      <w:r w:rsidR="00A77532">
        <w:t xml:space="preserve"> load impact excluding the large customer who enrolled in PY2014 is 77 MW. The </w:t>
      </w:r>
      <w:r w:rsidR="00933F01" w:rsidRPr="00933F01">
        <w:rPr>
          <w:i/>
        </w:rPr>
        <w:t>ex-ante</w:t>
      </w:r>
      <w:r w:rsidR="00A77532">
        <w:t xml:space="preserve"> forecast using only PY2014 </w:t>
      </w:r>
      <w:r w:rsidR="00933F01" w:rsidRPr="00933F01">
        <w:rPr>
          <w:i/>
        </w:rPr>
        <w:t>ex-post</w:t>
      </w:r>
      <w:r w:rsidR="00A77532">
        <w:t xml:space="preserve"> load impacts is nearly identical. When the PY2012 to PY2014 </w:t>
      </w:r>
      <w:r w:rsidR="00933F01" w:rsidRPr="00933F01">
        <w:rPr>
          <w:i/>
        </w:rPr>
        <w:t>ex-post</w:t>
      </w:r>
      <w:r w:rsidR="00A77532">
        <w:t xml:space="preserve"> load impacts are used, the </w:t>
      </w:r>
      <w:r w:rsidR="00933F01" w:rsidRPr="00933F01">
        <w:rPr>
          <w:i/>
        </w:rPr>
        <w:t>ex-ante</w:t>
      </w:r>
      <w:r w:rsidR="00A77532">
        <w:t xml:space="preserve"> load impact increases to 90 MW (largely because a handful of large customers were more responsive in the earlier years).</w:t>
      </w:r>
    </w:p>
    <w:p w14:paraId="613CCD1F" w14:textId="77777777" w:rsidR="00A77532" w:rsidRDefault="00A77532" w:rsidP="002B724E"/>
    <w:p w14:paraId="5B72CA6C" w14:textId="2971BBEB" w:rsidR="00A77532" w:rsidRDefault="00A77532" w:rsidP="002B724E">
      <w:r>
        <w:t xml:space="preserve">The second factor is the load impact for the new large responder, which was approximately 30 MW during events in which it responded, but is “de-rated” to 24.3 MW in the </w:t>
      </w:r>
      <w:r w:rsidR="00933F01" w:rsidRPr="00933F01">
        <w:rPr>
          <w:i/>
        </w:rPr>
        <w:t>ex-ante</w:t>
      </w:r>
      <w:r>
        <w:t xml:space="preserve"> forecast because of the two events in which it did not respond. </w:t>
      </w:r>
    </w:p>
    <w:p w14:paraId="05E12D54" w14:textId="77777777" w:rsidR="00A77532" w:rsidRDefault="00A77532" w:rsidP="002B724E"/>
    <w:p w14:paraId="1DC04E26" w14:textId="3F4E289F" w:rsidR="00701FAA" w:rsidRDefault="00A77532" w:rsidP="002B724E">
      <w:r>
        <w:t>The third factor is due to scaling the load impacts to the forecast enrollment figure of 772. This is slightly fewer SAIDs than we observe in the program by the end of the PY2014, so the program load impact is scaled down from 114 MW to 111 MW.</w:t>
      </w:r>
    </w:p>
    <w:p w14:paraId="5DB7CC01" w14:textId="77777777" w:rsidR="00701FAA" w:rsidRDefault="00701FAA" w:rsidP="002B724E"/>
    <w:p w14:paraId="58A75DD4" w14:textId="1FD71E0E" w:rsidR="00701FAA" w:rsidRDefault="00701FAA" w:rsidP="00A77532">
      <w:pPr>
        <w:pStyle w:val="TableCaption"/>
        <w:keepNext/>
        <w:keepLines/>
      </w:pPr>
      <w:bookmarkStart w:id="326" w:name="_Toc415761906"/>
      <w:r>
        <w:t>Table</w:t>
      </w:r>
      <w:r w:rsidR="00A77532">
        <w:t xml:space="preserve"> 6.13: Reconciling </w:t>
      </w:r>
      <w:r w:rsidR="00933F01" w:rsidRPr="00933F01">
        <w:rPr>
          <w:i/>
        </w:rPr>
        <w:t>Ex-post</w:t>
      </w:r>
      <w:r w:rsidR="00A77532">
        <w:t xml:space="preserve"> to </w:t>
      </w:r>
      <w:r w:rsidR="00933F01" w:rsidRPr="00933F01">
        <w:rPr>
          <w:i/>
        </w:rPr>
        <w:t>Ex-ante</w:t>
      </w:r>
      <w:r w:rsidR="00A77532">
        <w:t xml:space="preserve"> Load Impacts, </w:t>
      </w:r>
      <w:r w:rsidR="00A77532" w:rsidRPr="006360C1">
        <w:rPr>
          <w:i/>
        </w:rPr>
        <w:t>SCE</w:t>
      </w:r>
      <w:bookmarkEnd w:id="326"/>
    </w:p>
    <w:tbl>
      <w:tblPr>
        <w:tblStyle w:val="TableGrid"/>
        <w:tblW w:w="0" w:type="auto"/>
        <w:jc w:val="center"/>
        <w:tblLook w:val="04A0" w:firstRow="1" w:lastRow="0" w:firstColumn="1" w:lastColumn="0" w:noHBand="0" w:noVBand="1"/>
      </w:tblPr>
      <w:tblGrid>
        <w:gridCol w:w="4315"/>
        <w:gridCol w:w="4315"/>
      </w:tblGrid>
      <w:tr w:rsidR="00701FAA" w14:paraId="2CD43ECB" w14:textId="77777777" w:rsidTr="00A77532">
        <w:trPr>
          <w:jc w:val="center"/>
        </w:trPr>
        <w:tc>
          <w:tcPr>
            <w:tcW w:w="4315" w:type="dxa"/>
            <w:shd w:val="clear" w:color="auto" w:fill="DEEAF6" w:themeFill="accent1" w:themeFillTint="33"/>
            <w:vAlign w:val="center"/>
          </w:tcPr>
          <w:p w14:paraId="34793C32" w14:textId="77777777" w:rsidR="00A77532" w:rsidRDefault="00A77532" w:rsidP="00A77532">
            <w:pPr>
              <w:keepNext/>
              <w:keepLines/>
              <w:jc w:val="center"/>
              <w:rPr>
                <w:rFonts w:ascii="Arial" w:hAnsi="Arial" w:cs="Arial"/>
                <w:b/>
                <w:sz w:val="20"/>
                <w:szCs w:val="20"/>
              </w:rPr>
            </w:pPr>
          </w:p>
          <w:p w14:paraId="2A071B3D" w14:textId="77777777" w:rsidR="00701FAA" w:rsidRDefault="00701FAA" w:rsidP="00A77532">
            <w:pPr>
              <w:keepNext/>
              <w:keepLines/>
              <w:jc w:val="center"/>
              <w:rPr>
                <w:rFonts w:ascii="Arial" w:hAnsi="Arial" w:cs="Arial"/>
                <w:b/>
                <w:sz w:val="20"/>
                <w:szCs w:val="20"/>
              </w:rPr>
            </w:pPr>
            <w:r w:rsidRPr="00A77532">
              <w:rPr>
                <w:rFonts w:ascii="Arial" w:hAnsi="Arial" w:cs="Arial"/>
                <w:b/>
                <w:sz w:val="20"/>
                <w:szCs w:val="20"/>
              </w:rPr>
              <w:t>Scenario</w:t>
            </w:r>
          </w:p>
          <w:p w14:paraId="1CCB98F6" w14:textId="636A2586" w:rsidR="00A77532" w:rsidRPr="00A77532" w:rsidRDefault="00A77532" w:rsidP="00A77532">
            <w:pPr>
              <w:keepNext/>
              <w:keepLines/>
              <w:jc w:val="center"/>
              <w:rPr>
                <w:rFonts w:ascii="Arial" w:hAnsi="Arial" w:cs="Arial"/>
                <w:b/>
                <w:sz w:val="20"/>
                <w:szCs w:val="20"/>
              </w:rPr>
            </w:pPr>
          </w:p>
        </w:tc>
        <w:tc>
          <w:tcPr>
            <w:tcW w:w="4315" w:type="dxa"/>
            <w:shd w:val="clear" w:color="auto" w:fill="DEEAF6" w:themeFill="accent1" w:themeFillTint="33"/>
            <w:vAlign w:val="center"/>
          </w:tcPr>
          <w:p w14:paraId="49B7D787" w14:textId="7A2E74F2" w:rsidR="00701FAA" w:rsidRPr="00A77532" w:rsidRDefault="00701FAA" w:rsidP="00A77532">
            <w:pPr>
              <w:keepNext/>
              <w:keepLines/>
              <w:jc w:val="center"/>
              <w:rPr>
                <w:rFonts w:ascii="Arial" w:hAnsi="Arial" w:cs="Arial"/>
                <w:b/>
                <w:sz w:val="20"/>
                <w:szCs w:val="20"/>
              </w:rPr>
            </w:pPr>
            <w:r w:rsidRPr="00A77532">
              <w:rPr>
                <w:rFonts w:ascii="Arial" w:hAnsi="Arial" w:cs="Arial"/>
                <w:b/>
                <w:sz w:val="20"/>
                <w:szCs w:val="20"/>
              </w:rPr>
              <w:t>Program Load Impact</w:t>
            </w:r>
          </w:p>
        </w:tc>
      </w:tr>
      <w:tr w:rsidR="00701FAA" w14:paraId="1B53135E" w14:textId="77777777" w:rsidTr="00A77532">
        <w:trPr>
          <w:jc w:val="center"/>
        </w:trPr>
        <w:tc>
          <w:tcPr>
            <w:tcW w:w="4315" w:type="dxa"/>
            <w:vAlign w:val="center"/>
          </w:tcPr>
          <w:p w14:paraId="6579C909" w14:textId="78A8EDB5" w:rsidR="00701FAA" w:rsidRPr="00A77532" w:rsidRDefault="00933F01" w:rsidP="00A77532">
            <w:pPr>
              <w:keepNext/>
              <w:keepLines/>
              <w:rPr>
                <w:rFonts w:ascii="Arial" w:hAnsi="Arial" w:cs="Arial"/>
                <w:sz w:val="20"/>
                <w:szCs w:val="20"/>
              </w:rPr>
            </w:pPr>
            <w:r w:rsidRPr="00933F01">
              <w:rPr>
                <w:rFonts w:ascii="Arial" w:hAnsi="Arial" w:cs="Arial"/>
                <w:i/>
                <w:sz w:val="20"/>
                <w:szCs w:val="20"/>
              </w:rPr>
              <w:t>Ex-post</w:t>
            </w:r>
            <w:r w:rsidR="00701FAA" w:rsidRPr="00A77532">
              <w:rPr>
                <w:rFonts w:ascii="Arial" w:hAnsi="Arial" w:cs="Arial"/>
                <w:sz w:val="20"/>
                <w:szCs w:val="20"/>
              </w:rPr>
              <w:t>, all customers</w:t>
            </w:r>
          </w:p>
        </w:tc>
        <w:tc>
          <w:tcPr>
            <w:tcW w:w="4315" w:type="dxa"/>
            <w:vAlign w:val="center"/>
          </w:tcPr>
          <w:p w14:paraId="0C224F91" w14:textId="10A80A08" w:rsidR="00701FAA" w:rsidRPr="00A77532" w:rsidRDefault="00701FAA" w:rsidP="00A77532">
            <w:pPr>
              <w:keepNext/>
              <w:keepLines/>
              <w:jc w:val="center"/>
              <w:rPr>
                <w:rFonts w:ascii="Arial" w:hAnsi="Arial" w:cs="Arial"/>
                <w:sz w:val="20"/>
                <w:szCs w:val="20"/>
              </w:rPr>
            </w:pPr>
            <w:r w:rsidRPr="00A77532">
              <w:rPr>
                <w:rFonts w:ascii="Arial" w:hAnsi="Arial" w:cs="Arial"/>
                <w:sz w:val="20"/>
                <w:szCs w:val="20"/>
              </w:rPr>
              <w:t>107 MW</w:t>
            </w:r>
          </w:p>
        </w:tc>
      </w:tr>
      <w:tr w:rsidR="00701FAA" w14:paraId="18FEB40E" w14:textId="77777777" w:rsidTr="00A77532">
        <w:trPr>
          <w:jc w:val="center"/>
        </w:trPr>
        <w:tc>
          <w:tcPr>
            <w:tcW w:w="4315" w:type="dxa"/>
            <w:vAlign w:val="center"/>
          </w:tcPr>
          <w:p w14:paraId="5D1ABEA2" w14:textId="355890F9" w:rsidR="00701FAA" w:rsidRPr="00A77532" w:rsidRDefault="00933F01" w:rsidP="00A77532">
            <w:pPr>
              <w:keepNext/>
              <w:keepLines/>
              <w:rPr>
                <w:rFonts w:ascii="Arial" w:hAnsi="Arial" w:cs="Arial"/>
                <w:sz w:val="20"/>
                <w:szCs w:val="20"/>
              </w:rPr>
            </w:pPr>
            <w:r w:rsidRPr="00933F01">
              <w:rPr>
                <w:rFonts w:ascii="Arial" w:hAnsi="Arial" w:cs="Arial"/>
                <w:i/>
                <w:sz w:val="20"/>
                <w:szCs w:val="20"/>
              </w:rPr>
              <w:t>Ex-post</w:t>
            </w:r>
            <w:r w:rsidR="00701FAA" w:rsidRPr="00A77532">
              <w:rPr>
                <w:rFonts w:ascii="Arial" w:hAnsi="Arial" w:cs="Arial"/>
                <w:sz w:val="20"/>
                <w:szCs w:val="20"/>
              </w:rPr>
              <w:t xml:space="preserve"> excluding new large responder</w:t>
            </w:r>
          </w:p>
        </w:tc>
        <w:tc>
          <w:tcPr>
            <w:tcW w:w="4315" w:type="dxa"/>
            <w:vAlign w:val="center"/>
          </w:tcPr>
          <w:p w14:paraId="6610439C" w14:textId="1B6F68D1" w:rsidR="00701FAA" w:rsidRPr="00A77532" w:rsidRDefault="00701FAA" w:rsidP="00A77532">
            <w:pPr>
              <w:keepNext/>
              <w:keepLines/>
              <w:jc w:val="center"/>
              <w:rPr>
                <w:rFonts w:ascii="Arial" w:hAnsi="Arial" w:cs="Arial"/>
                <w:sz w:val="20"/>
                <w:szCs w:val="20"/>
              </w:rPr>
            </w:pPr>
            <w:r w:rsidRPr="00A77532">
              <w:rPr>
                <w:rFonts w:ascii="Arial" w:hAnsi="Arial" w:cs="Arial"/>
                <w:sz w:val="20"/>
                <w:szCs w:val="20"/>
              </w:rPr>
              <w:t>77 MW</w:t>
            </w:r>
          </w:p>
        </w:tc>
      </w:tr>
      <w:tr w:rsidR="00701FAA" w14:paraId="3839D8C9" w14:textId="77777777" w:rsidTr="00A77532">
        <w:trPr>
          <w:jc w:val="center"/>
        </w:trPr>
        <w:tc>
          <w:tcPr>
            <w:tcW w:w="4315" w:type="dxa"/>
            <w:vAlign w:val="center"/>
          </w:tcPr>
          <w:p w14:paraId="7E4E44A4" w14:textId="58170805" w:rsidR="00701FAA" w:rsidRPr="00A77532" w:rsidRDefault="00933F01" w:rsidP="00A77532">
            <w:pPr>
              <w:keepNext/>
              <w:keepLines/>
              <w:rPr>
                <w:rFonts w:ascii="Arial" w:hAnsi="Arial" w:cs="Arial"/>
                <w:sz w:val="20"/>
                <w:szCs w:val="20"/>
              </w:rPr>
            </w:pPr>
            <w:r w:rsidRPr="00933F01">
              <w:rPr>
                <w:rFonts w:ascii="Arial" w:hAnsi="Arial" w:cs="Arial"/>
                <w:i/>
                <w:sz w:val="20"/>
                <w:szCs w:val="20"/>
              </w:rPr>
              <w:t>Ex-ante</w:t>
            </w:r>
            <w:r w:rsidR="00701FAA" w:rsidRPr="00A77532">
              <w:rPr>
                <w:rFonts w:ascii="Arial" w:hAnsi="Arial" w:cs="Arial"/>
                <w:sz w:val="20"/>
                <w:szCs w:val="20"/>
              </w:rPr>
              <w:t xml:space="preserve"> excluding new large responder + using only PY2014 </w:t>
            </w:r>
            <w:r w:rsidRPr="00933F01">
              <w:rPr>
                <w:rFonts w:ascii="Arial" w:hAnsi="Arial" w:cs="Arial"/>
                <w:i/>
                <w:sz w:val="20"/>
                <w:szCs w:val="20"/>
              </w:rPr>
              <w:t>ex-post</w:t>
            </w:r>
            <w:r w:rsidR="00701FAA" w:rsidRPr="00A77532">
              <w:rPr>
                <w:rFonts w:ascii="Arial" w:hAnsi="Arial" w:cs="Arial"/>
                <w:sz w:val="20"/>
                <w:szCs w:val="20"/>
              </w:rPr>
              <w:t xml:space="preserve"> LI</w:t>
            </w:r>
          </w:p>
        </w:tc>
        <w:tc>
          <w:tcPr>
            <w:tcW w:w="4315" w:type="dxa"/>
            <w:vAlign w:val="center"/>
          </w:tcPr>
          <w:p w14:paraId="1BAC3354" w14:textId="1A3B3E54" w:rsidR="00701FAA" w:rsidRPr="00A77532" w:rsidRDefault="00701FAA" w:rsidP="00A77532">
            <w:pPr>
              <w:keepNext/>
              <w:keepLines/>
              <w:jc w:val="center"/>
              <w:rPr>
                <w:rFonts w:ascii="Arial" w:hAnsi="Arial" w:cs="Arial"/>
                <w:sz w:val="20"/>
                <w:szCs w:val="20"/>
              </w:rPr>
            </w:pPr>
            <w:r w:rsidRPr="00A77532">
              <w:rPr>
                <w:rFonts w:ascii="Arial" w:hAnsi="Arial" w:cs="Arial"/>
                <w:sz w:val="20"/>
                <w:szCs w:val="20"/>
              </w:rPr>
              <w:t>77 MW</w:t>
            </w:r>
          </w:p>
        </w:tc>
      </w:tr>
      <w:tr w:rsidR="00701FAA" w14:paraId="1AEF55A7" w14:textId="77777777" w:rsidTr="00A77532">
        <w:trPr>
          <w:jc w:val="center"/>
        </w:trPr>
        <w:tc>
          <w:tcPr>
            <w:tcW w:w="4315" w:type="dxa"/>
            <w:vAlign w:val="center"/>
          </w:tcPr>
          <w:p w14:paraId="1E3E647F" w14:textId="15A1C907" w:rsidR="00701FAA" w:rsidRPr="00A77532" w:rsidRDefault="00933F01" w:rsidP="00A77532">
            <w:pPr>
              <w:keepNext/>
              <w:keepLines/>
              <w:rPr>
                <w:rFonts w:ascii="Arial" w:hAnsi="Arial" w:cs="Arial"/>
                <w:sz w:val="20"/>
                <w:szCs w:val="20"/>
              </w:rPr>
            </w:pPr>
            <w:r w:rsidRPr="00933F01">
              <w:rPr>
                <w:rFonts w:ascii="Arial" w:hAnsi="Arial" w:cs="Arial"/>
                <w:i/>
                <w:sz w:val="20"/>
                <w:szCs w:val="20"/>
              </w:rPr>
              <w:t>Ex-ante</w:t>
            </w:r>
            <w:r w:rsidR="00701FAA" w:rsidRPr="00A77532">
              <w:rPr>
                <w:rFonts w:ascii="Arial" w:hAnsi="Arial" w:cs="Arial"/>
                <w:sz w:val="20"/>
                <w:szCs w:val="20"/>
              </w:rPr>
              <w:t xml:space="preserve"> excluding new large responder + using PY2012 to 2014 </w:t>
            </w:r>
            <w:r w:rsidRPr="00933F01">
              <w:rPr>
                <w:rFonts w:ascii="Arial" w:hAnsi="Arial" w:cs="Arial"/>
                <w:i/>
                <w:sz w:val="20"/>
                <w:szCs w:val="20"/>
              </w:rPr>
              <w:t>ex-post</w:t>
            </w:r>
            <w:r w:rsidR="00701FAA" w:rsidRPr="00A77532">
              <w:rPr>
                <w:rFonts w:ascii="Arial" w:hAnsi="Arial" w:cs="Arial"/>
                <w:sz w:val="20"/>
                <w:szCs w:val="20"/>
              </w:rPr>
              <w:t xml:space="preserve"> LI</w:t>
            </w:r>
          </w:p>
        </w:tc>
        <w:tc>
          <w:tcPr>
            <w:tcW w:w="4315" w:type="dxa"/>
            <w:vAlign w:val="center"/>
          </w:tcPr>
          <w:p w14:paraId="5AA22EEE" w14:textId="6945699A" w:rsidR="00701FAA" w:rsidRPr="00A77532" w:rsidRDefault="00701FAA" w:rsidP="00A77532">
            <w:pPr>
              <w:keepNext/>
              <w:keepLines/>
              <w:jc w:val="center"/>
              <w:rPr>
                <w:rFonts w:ascii="Arial" w:hAnsi="Arial" w:cs="Arial"/>
                <w:sz w:val="20"/>
                <w:szCs w:val="20"/>
              </w:rPr>
            </w:pPr>
            <w:r w:rsidRPr="00A77532">
              <w:rPr>
                <w:rFonts w:ascii="Arial" w:hAnsi="Arial" w:cs="Arial"/>
                <w:sz w:val="20"/>
                <w:szCs w:val="20"/>
              </w:rPr>
              <w:t>90 MW</w:t>
            </w:r>
          </w:p>
        </w:tc>
      </w:tr>
      <w:tr w:rsidR="00701FAA" w14:paraId="1FAAE11E" w14:textId="77777777" w:rsidTr="00A77532">
        <w:trPr>
          <w:jc w:val="center"/>
        </w:trPr>
        <w:tc>
          <w:tcPr>
            <w:tcW w:w="4315" w:type="dxa"/>
            <w:vAlign w:val="center"/>
          </w:tcPr>
          <w:p w14:paraId="6AB59E70" w14:textId="5E45BEFF" w:rsidR="00701FAA" w:rsidRPr="00A77532" w:rsidRDefault="00933F01" w:rsidP="00A77532">
            <w:pPr>
              <w:keepNext/>
              <w:keepLines/>
              <w:rPr>
                <w:rFonts w:ascii="Arial" w:hAnsi="Arial" w:cs="Arial"/>
                <w:sz w:val="20"/>
                <w:szCs w:val="20"/>
              </w:rPr>
            </w:pPr>
            <w:r w:rsidRPr="00933F01">
              <w:rPr>
                <w:rFonts w:ascii="Arial" w:hAnsi="Arial" w:cs="Arial"/>
                <w:i/>
                <w:sz w:val="20"/>
                <w:szCs w:val="20"/>
              </w:rPr>
              <w:t>Ex-ante</w:t>
            </w:r>
            <w:r w:rsidR="00701FAA" w:rsidRPr="00A77532">
              <w:rPr>
                <w:rFonts w:ascii="Arial" w:hAnsi="Arial" w:cs="Arial"/>
                <w:sz w:val="20"/>
                <w:szCs w:val="20"/>
              </w:rPr>
              <w:t xml:space="preserve"> including new large responder + using PY2012 to 2014 </w:t>
            </w:r>
            <w:r w:rsidRPr="00933F01">
              <w:rPr>
                <w:rFonts w:ascii="Arial" w:hAnsi="Arial" w:cs="Arial"/>
                <w:i/>
                <w:sz w:val="20"/>
                <w:szCs w:val="20"/>
              </w:rPr>
              <w:t>ex-post</w:t>
            </w:r>
            <w:r w:rsidR="00701FAA" w:rsidRPr="00A77532">
              <w:rPr>
                <w:rFonts w:ascii="Arial" w:hAnsi="Arial" w:cs="Arial"/>
                <w:sz w:val="20"/>
                <w:szCs w:val="20"/>
              </w:rPr>
              <w:t xml:space="preserve"> LI</w:t>
            </w:r>
          </w:p>
        </w:tc>
        <w:tc>
          <w:tcPr>
            <w:tcW w:w="4315" w:type="dxa"/>
            <w:vAlign w:val="center"/>
          </w:tcPr>
          <w:p w14:paraId="548C266C" w14:textId="03A43BA5" w:rsidR="00701FAA" w:rsidRPr="00A77532" w:rsidRDefault="00701FAA" w:rsidP="00A77532">
            <w:pPr>
              <w:keepNext/>
              <w:keepLines/>
              <w:jc w:val="center"/>
              <w:rPr>
                <w:rFonts w:ascii="Arial" w:hAnsi="Arial" w:cs="Arial"/>
                <w:sz w:val="20"/>
                <w:szCs w:val="20"/>
              </w:rPr>
            </w:pPr>
            <w:r w:rsidRPr="00A77532">
              <w:rPr>
                <w:rFonts w:ascii="Arial" w:hAnsi="Arial" w:cs="Arial"/>
                <w:sz w:val="20"/>
                <w:szCs w:val="20"/>
              </w:rPr>
              <w:t>114 MW</w:t>
            </w:r>
          </w:p>
        </w:tc>
      </w:tr>
      <w:tr w:rsidR="00701FAA" w14:paraId="4F254237" w14:textId="77777777" w:rsidTr="00A77532">
        <w:trPr>
          <w:jc w:val="center"/>
        </w:trPr>
        <w:tc>
          <w:tcPr>
            <w:tcW w:w="4315" w:type="dxa"/>
            <w:vAlign w:val="center"/>
          </w:tcPr>
          <w:p w14:paraId="798AF43E" w14:textId="5598520B" w:rsidR="00701FAA" w:rsidRPr="00A77532" w:rsidRDefault="00701FAA" w:rsidP="00A77532">
            <w:pPr>
              <w:keepNext/>
              <w:keepLines/>
              <w:rPr>
                <w:rFonts w:ascii="Arial" w:hAnsi="Arial" w:cs="Arial"/>
                <w:sz w:val="20"/>
                <w:szCs w:val="20"/>
              </w:rPr>
            </w:pPr>
            <w:r w:rsidRPr="00A77532">
              <w:rPr>
                <w:rFonts w:ascii="Arial" w:hAnsi="Arial" w:cs="Arial"/>
                <w:sz w:val="20"/>
                <w:szCs w:val="20"/>
              </w:rPr>
              <w:t xml:space="preserve">Scaling </w:t>
            </w:r>
            <w:r w:rsidR="00933F01" w:rsidRPr="00933F01">
              <w:rPr>
                <w:rFonts w:ascii="Arial" w:hAnsi="Arial" w:cs="Arial"/>
                <w:i/>
                <w:sz w:val="20"/>
                <w:szCs w:val="20"/>
              </w:rPr>
              <w:t>ex-ante</w:t>
            </w:r>
            <w:r w:rsidRPr="00A77532">
              <w:rPr>
                <w:rFonts w:ascii="Arial" w:hAnsi="Arial" w:cs="Arial"/>
                <w:sz w:val="20"/>
                <w:szCs w:val="20"/>
              </w:rPr>
              <w:t xml:space="preserve"> to forecast enrollment</w:t>
            </w:r>
          </w:p>
        </w:tc>
        <w:tc>
          <w:tcPr>
            <w:tcW w:w="4315" w:type="dxa"/>
            <w:vAlign w:val="center"/>
          </w:tcPr>
          <w:p w14:paraId="62C8DF24" w14:textId="23F7F979" w:rsidR="00701FAA" w:rsidRPr="00A77532" w:rsidRDefault="00701FAA" w:rsidP="00A77532">
            <w:pPr>
              <w:keepNext/>
              <w:keepLines/>
              <w:jc w:val="center"/>
              <w:rPr>
                <w:rFonts w:ascii="Arial" w:hAnsi="Arial" w:cs="Arial"/>
                <w:sz w:val="20"/>
                <w:szCs w:val="20"/>
              </w:rPr>
            </w:pPr>
            <w:r w:rsidRPr="00A77532">
              <w:rPr>
                <w:rFonts w:ascii="Arial" w:hAnsi="Arial" w:cs="Arial"/>
                <w:sz w:val="20"/>
                <w:szCs w:val="20"/>
              </w:rPr>
              <w:t>111 MW</w:t>
            </w:r>
          </w:p>
        </w:tc>
      </w:tr>
    </w:tbl>
    <w:p w14:paraId="6F1A226B" w14:textId="77777777" w:rsidR="00701FAA" w:rsidRDefault="00701FAA" w:rsidP="002B724E"/>
    <w:p w14:paraId="7A0FCF99" w14:textId="77777777" w:rsidR="002B724E" w:rsidRDefault="002B724E" w:rsidP="002B724E">
      <w:pPr>
        <w:pStyle w:val="Heading2"/>
      </w:pPr>
      <w:bookmarkStart w:id="327" w:name="_Toc383597961"/>
      <w:bookmarkStart w:id="328" w:name="_Toc415761856"/>
      <w:r>
        <w:t>6.3 SDG&amp;E</w:t>
      </w:r>
      <w:bookmarkEnd w:id="327"/>
      <w:bookmarkEnd w:id="328"/>
    </w:p>
    <w:p w14:paraId="47814271" w14:textId="68CCE6D8" w:rsidR="00467A70" w:rsidRDefault="00467A70" w:rsidP="00900799">
      <w:bookmarkStart w:id="329" w:name="_Toc383597962"/>
      <w:r>
        <w:t xml:space="preserve">This section </w:t>
      </w:r>
      <w:r w:rsidR="001C37C9">
        <w:t xml:space="preserve">has been </w:t>
      </w:r>
      <w:r>
        <w:t>removed due to confidentiality concerns.</w:t>
      </w:r>
    </w:p>
    <w:p w14:paraId="1C5F4D75" w14:textId="48249AC1" w:rsidR="00321E09" w:rsidRDefault="00DD01A1" w:rsidP="000700BB">
      <w:pPr>
        <w:pStyle w:val="Heading1"/>
      </w:pPr>
      <w:bookmarkStart w:id="330" w:name="_Toc199299563"/>
      <w:bookmarkStart w:id="331" w:name="_Toc415761857"/>
      <w:bookmarkEnd w:id="329"/>
      <w:r>
        <w:t>7</w:t>
      </w:r>
      <w:r w:rsidR="00321E09" w:rsidRPr="00AB65A8">
        <w:t>. Recommendations</w:t>
      </w:r>
      <w:bookmarkEnd w:id="330"/>
      <w:bookmarkEnd w:id="331"/>
    </w:p>
    <w:p w14:paraId="47D4BB46" w14:textId="7C70DE68" w:rsidR="00AE2009" w:rsidRDefault="00AE2009" w:rsidP="00AE2009">
      <w:r>
        <w:t>Based on the performance of dually enrolled customers, the utilities should continue to encourage customers in BIP and the aggregator programs (AMP and CBP) to enroll in DBP. They tend to be the most responsive customers in DBP and provide a means for the utilities to increase the amount of demand response that can be obtained on DBP-only event days.</w:t>
      </w:r>
    </w:p>
    <w:p w14:paraId="737A5621" w14:textId="62BCB4CC" w:rsidR="00CE31EA" w:rsidRDefault="00CE31EA" w:rsidP="00AE2009"/>
    <w:p w14:paraId="031288B1" w14:textId="3D6783B5" w:rsidR="005A5724" w:rsidRDefault="005A5724" w:rsidP="00A24342"/>
    <w:p w14:paraId="7912AE5C" w14:textId="77777777" w:rsidR="00EA09F4" w:rsidRDefault="00700751" w:rsidP="00EA09F4">
      <w:pPr>
        <w:pStyle w:val="Heading1"/>
      </w:pPr>
      <w:r>
        <w:br w:type="page"/>
      </w:r>
      <w:bookmarkStart w:id="332" w:name="_Toc415761858"/>
      <w:r w:rsidR="00EA09F4">
        <w:lastRenderedPageBreak/>
        <w:t>Appendices</w:t>
      </w:r>
      <w:bookmarkEnd w:id="332"/>
    </w:p>
    <w:p w14:paraId="5CB80B3D" w14:textId="32A9808C" w:rsidR="00EA09F4" w:rsidRDefault="00EA09F4" w:rsidP="00EA09F4">
      <w:r>
        <w:t xml:space="preserve">The following Appendices accompany this report. </w:t>
      </w:r>
      <w:r w:rsidR="007772B0">
        <w:t xml:space="preserve">Appendix A is the validity assessment associated with our </w:t>
      </w:r>
      <w:r w:rsidR="00933F01" w:rsidRPr="00933F01">
        <w:rPr>
          <w:i/>
        </w:rPr>
        <w:t>ex-post</w:t>
      </w:r>
      <w:r w:rsidR="007772B0">
        <w:t xml:space="preserve"> load impact evaluation. The additional appendices are </w:t>
      </w:r>
      <w:r>
        <w:t>Excel file</w:t>
      </w:r>
      <w:r w:rsidR="007772B0">
        <w:t>s</w:t>
      </w:r>
      <w:r>
        <w:t xml:space="preserve"> that can produce the tables required by the Protocols.</w:t>
      </w:r>
    </w:p>
    <w:p w14:paraId="2EF06B9D" w14:textId="07D7FC6E" w:rsidR="00CE31EA" w:rsidRDefault="00CE31EA" w:rsidP="00EA09F4"/>
    <w:p w14:paraId="1A7CD6B9" w14:textId="77777777" w:rsidR="00EA09F4" w:rsidRDefault="007772B0" w:rsidP="00EA09F4">
      <w:r>
        <w:t>DBP Study Appendix B</w:t>
      </w:r>
      <w:r w:rsidR="00EA09F4">
        <w:t xml:space="preserve"> </w:t>
      </w:r>
      <w:r w:rsidR="008A4F55">
        <w:tab/>
      </w:r>
      <w:r w:rsidR="008A4F55">
        <w:tab/>
      </w:r>
      <w:r w:rsidR="00EA09F4">
        <w:t>PG&amp;E</w:t>
      </w:r>
      <w:r w:rsidR="008A4F55">
        <w:t xml:space="preserve"> </w:t>
      </w:r>
      <w:r w:rsidR="00EA09F4">
        <w:t>Ex-Post Load Impact Tables</w:t>
      </w:r>
    </w:p>
    <w:p w14:paraId="42462F7A" w14:textId="77777777" w:rsidR="00EA09F4" w:rsidRDefault="007772B0" w:rsidP="00EA09F4">
      <w:r>
        <w:t>DBP Study Appendix C</w:t>
      </w:r>
      <w:r w:rsidR="00EA09F4">
        <w:t xml:space="preserve"> </w:t>
      </w:r>
      <w:r w:rsidR="008A4F55">
        <w:tab/>
      </w:r>
      <w:r w:rsidR="008A4F55">
        <w:tab/>
      </w:r>
      <w:r w:rsidR="00EA09F4">
        <w:t>SCE</w:t>
      </w:r>
      <w:r w:rsidR="008A4F55">
        <w:t xml:space="preserve"> </w:t>
      </w:r>
      <w:r w:rsidR="00EA09F4">
        <w:t>Ex-Post Load Impact Tables</w:t>
      </w:r>
    </w:p>
    <w:p w14:paraId="199844F9" w14:textId="77777777" w:rsidR="008A4F55" w:rsidRDefault="007772B0" w:rsidP="008A4F55">
      <w:r>
        <w:t>DBP Study Appendix D</w:t>
      </w:r>
      <w:r w:rsidR="008A4F55">
        <w:t xml:space="preserve"> </w:t>
      </w:r>
      <w:r w:rsidR="008A4F55">
        <w:tab/>
      </w:r>
      <w:r w:rsidR="008A4F55">
        <w:tab/>
        <w:t>SDG&amp;E Ex-Post Load Impact Tables</w:t>
      </w:r>
    </w:p>
    <w:p w14:paraId="019ABC48" w14:textId="77777777" w:rsidR="00AF221D" w:rsidRDefault="007772B0" w:rsidP="00AF221D">
      <w:r>
        <w:t>DBP Study Appendix E</w:t>
      </w:r>
      <w:r w:rsidR="00AF221D">
        <w:t xml:space="preserve"> </w:t>
      </w:r>
      <w:r w:rsidR="00AF221D">
        <w:tab/>
      </w:r>
      <w:r w:rsidR="00AF221D">
        <w:tab/>
        <w:t>PG&amp;E Ex-Ante Load Impact Tables</w:t>
      </w:r>
    </w:p>
    <w:p w14:paraId="2835D5FF" w14:textId="77777777" w:rsidR="00AF221D" w:rsidRDefault="007772B0" w:rsidP="00AF221D">
      <w:r>
        <w:t>DBP Study Appendix F</w:t>
      </w:r>
      <w:r w:rsidR="00AF221D">
        <w:t xml:space="preserve"> </w:t>
      </w:r>
      <w:r w:rsidR="00AF221D">
        <w:tab/>
      </w:r>
      <w:r w:rsidR="00AF221D">
        <w:tab/>
        <w:t>SCE Ex-Ante Load Impact Tables</w:t>
      </w:r>
    </w:p>
    <w:p w14:paraId="345F6830" w14:textId="77777777" w:rsidR="002234C5" w:rsidRDefault="007772B0" w:rsidP="00EA09F4">
      <w:r>
        <w:t>DBP Study Appendix G</w:t>
      </w:r>
      <w:r w:rsidR="00AF221D">
        <w:t xml:space="preserve"> </w:t>
      </w:r>
      <w:r w:rsidR="00AF221D">
        <w:tab/>
      </w:r>
      <w:r w:rsidR="00AF221D">
        <w:tab/>
        <w:t>S</w:t>
      </w:r>
      <w:r w:rsidR="008F52A8">
        <w:t>DG&amp;E Ex-Ante Load Impact Tables</w:t>
      </w:r>
    </w:p>
    <w:p w14:paraId="4B2CC288" w14:textId="77777777" w:rsidR="007772B0" w:rsidRDefault="007772B0" w:rsidP="00EA09F4"/>
    <w:p w14:paraId="0F2FA95F" w14:textId="77777777" w:rsidR="007772B0" w:rsidRDefault="007772B0" w:rsidP="007772B0">
      <w:pPr>
        <w:pStyle w:val="Heading1"/>
      </w:pPr>
      <w:r>
        <w:br w:type="page"/>
      </w:r>
      <w:bookmarkStart w:id="333" w:name="_Toc415761859"/>
      <w:r>
        <w:lastRenderedPageBreak/>
        <w:t>Appendix A</w:t>
      </w:r>
      <w:r w:rsidRPr="002A17C1">
        <w:t>. Validity Assessment</w:t>
      </w:r>
      <w:bookmarkEnd w:id="333"/>
    </w:p>
    <w:p w14:paraId="32816818" w14:textId="77777777" w:rsidR="007772B0" w:rsidRDefault="007772B0" w:rsidP="007772B0">
      <w:pPr>
        <w:pStyle w:val="Heading2"/>
      </w:pPr>
      <w:bookmarkStart w:id="334" w:name="_Toc314830418"/>
      <w:bookmarkStart w:id="335" w:name="_Toc415761860"/>
      <w:r>
        <w:t>A.1 Model Specification Tests</w:t>
      </w:r>
      <w:bookmarkEnd w:id="334"/>
      <w:bookmarkEnd w:id="335"/>
    </w:p>
    <w:p w14:paraId="29833E9B" w14:textId="209721C8" w:rsidR="007772B0" w:rsidRDefault="007772B0" w:rsidP="007772B0">
      <w:pPr>
        <w:spacing w:after="120"/>
      </w:pPr>
      <w:r>
        <w:t xml:space="preserve">A range of model specifications were tested before arriving at the model used in the </w:t>
      </w:r>
      <w:r w:rsidR="00933F01" w:rsidRPr="00933F01">
        <w:rPr>
          <w:i/>
        </w:rPr>
        <w:t>ex-post</w:t>
      </w:r>
      <w:r>
        <w:t xml:space="preserve"> load impact analysis. The basic structure of the model is shown in Section 3.2.1. The tests are conducted using average-customer data (by utility) rather than at the individual customer level. </w:t>
      </w:r>
      <w:r w:rsidRPr="00CE0406">
        <w:t xml:space="preserve">Model variations </w:t>
      </w:r>
      <w:r>
        <w:t xml:space="preserve">include </w:t>
      </w:r>
      <w:r w:rsidR="0078642D">
        <w:t>21</w:t>
      </w:r>
      <w:r>
        <w:t xml:space="preserve"> different combinations of weather variables. The weather variables include: temperature-humidity index (THI)</w:t>
      </w:r>
      <w:r>
        <w:rPr>
          <w:rStyle w:val="FootnoteReference"/>
        </w:rPr>
        <w:footnoteReference w:id="15"/>
      </w:r>
      <w:r>
        <w:t>; the 24-hour moving average of THI; heat index (HI)</w:t>
      </w:r>
      <w:r>
        <w:rPr>
          <w:rStyle w:val="FootnoteReference"/>
        </w:rPr>
        <w:footnoteReference w:id="16"/>
      </w:r>
      <w:r>
        <w:t>; the 24-hour moving average of HI; cooling degree hours (CDH)</w:t>
      </w:r>
      <w:r>
        <w:rPr>
          <w:rStyle w:val="FootnoteReference"/>
        </w:rPr>
        <w:footnoteReference w:id="17"/>
      </w:r>
      <w:r>
        <w:t>, including both a 60 and 65 degree Fahrenheit threshold; the 3-hour moving average of CDH; the 24-hour moving average of CDH; the one-day lag of cooling degree days (CDD)</w:t>
      </w:r>
      <w:r>
        <w:rPr>
          <w:rStyle w:val="FootnoteReference"/>
        </w:rPr>
        <w:footnoteReference w:id="18"/>
      </w:r>
      <w:r w:rsidR="00175FA8">
        <w:t>; and the average of the temperatures in degrees Fahrenheit during the first 17 hours of the day (Mean17)</w:t>
      </w:r>
      <w:r>
        <w:t xml:space="preserve">. A list of the </w:t>
      </w:r>
      <w:r w:rsidR="00175FA8">
        <w:t>21</w:t>
      </w:r>
      <w:r>
        <w:t xml:space="preserve"> combinations of these variables that we tested i</w:t>
      </w:r>
      <w:r w:rsidR="00C069AD">
        <w:t>s</w:t>
      </w:r>
      <w:r>
        <w:t xml:space="preserve"> provided in Table A.1.</w:t>
      </w:r>
    </w:p>
    <w:p w14:paraId="2B058AA4" w14:textId="77777777" w:rsidR="007772B0" w:rsidRDefault="007772B0" w:rsidP="007772B0">
      <w:pPr>
        <w:spacing w:after="120"/>
      </w:pPr>
    </w:p>
    <w:p w14:paraId="0EA47040" w14:textId="77777777" w:rsidR="007772B0" w:rsidRPr="0088530C" w:rsidRDefault="007772B0" w:rsidP="007772B0">
      <w:pPr>
        <w:pStyle w:val="TableCaption"/>
        <w:keepNext/>
        <w:keepLines/>
      </w:pPr>
      <w:bookmarkStart w:id="336" w:name="_Toc415761907"/>
      <w:r w:rsidRPr="0088530C">
        <w:lastRenderedPageBreak/>
        <w:t xml:space="preserve">Table </w:t>
      </w:r>
      <w:r>
        <w:t>A</w:t>
      </w:r>
      <w:r w:rsidRPr="0088530C">
        <w:t>.1: Weather Variables Included in the Tested Specifications</w:t>
      </w:r>
      <w:bookmarkEnd w:id="3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2828"/>
      </w:tblGrid>
      <w:tr w:rsidR="007772B0" w14:paraId="0C9E4C58" w14:textId="77777777" w:rsidTr="009A32A4">
        <w:trPr>
          <w:jc w:val="center"/>
        </w:trPr>
        <w:tc>
          <w:tcPr>
            <w:tcW w:w="0" w:type="auto"/>
            <w:shd w:val="clear" w:color="auto" w:fill="D9E2F3"/>
          </w:tcPr>
          <w:p w14:paraId="55730357" w14:textId="77777777" w:rsidR="007772B0" w:rsidRPr="00AA745A" w:rsidRDefault="007772B0" w:rsidP="009A32A4">
            <w:pPr>
              <w:keepNext/>
              <w:keepLines/>
              <w:jc w:val="center"/>
              <w:rPr>
                <w:rFonts w:ascii="Arial" w:hAnsi="Arial" w:cs="Arial"/>
                <w:b/>
                <w:sz w:val="20"/>
                <w:szCs w:val="20"/>
              </w:rPr>
            </w:pPr>
            <w:r w:rsidRPr="00AA745A">
              <w:rPr>
                <w:rFonts w:ascii="Arial" w:hAnsi="Arial" w:cs="Arial"/>
                <w:b/>
                <w:sz w:val="20"/>
                <w:szCs w:val="20"/>
              </w:rPr>
              <w:t>Model Number</w:t>
            </w:r>
          </w:p>
        </w:tc>
        <w:tc>
          <w:tcPr>
            <w:tcW w:w="0" w:type="auto"/>
            <w:shd w:val="clear" w:color="auto" w:fill="D9E2F3"/>
          </w:tcPr>
          <w:p w14:paraId="3854145F" w14:textId="77777777" w:rsidR="007772B0" w:rsidRPr="00AA745A" w:rsidRDefault="007772B0" w:rsidP="009A32A4">
            <w:pPr>
              <w:keepNext/>
              <w:keepLines/>
              <w:rPr>
                <w:rFonts w:ascii="Arial" w:hAnsi="Arial" w:cs="Arial"/>
                <w:b/>
                <w:sz w:val="20"/>
                <w:szCs w:val="20"/>
              </w:rPr>
            </w:pPr>
            <w:r w:rsidRPr="00AA745A">
              <w:rPr>
                <w:rFonts w:ascii="Arial" w:hAnsi="Arial" w:cs="Arial"/>
                <w:b/>
                <w:sz w:val="20"/>
                <w:szCs w:val="20"/>
              </w:rPr>
              <w:t>Included Weather Variables</w:t>
            </w:r>
          </w:p>
        </w:tc>
      </w:tr>
      <w:tr w:rsidR="007772B0" w14:paraId="134AB972" w14:textId="77777777" w:rsidTr="009A32A4">
        <w:trPr>
          <w:jc w:val="center"/>
        </w:trPr>
        <w:tc>
          <w:tcPr>
            <w:tcW w:w="0" w:type="auto"/>
            <w:shd w:val="clear" w:color="auto" w:fill="auto"/>
          </w:tcPr>
          <w:p w14:paraId="2FE3788D"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w:t>
            </w:r>
          </w:p>
        </w:tc>
        <w:tc>
          <w:tcPr>
            <w:tcW w:w="0" w:type="auto"/>
            <w:shd w:val="clear" w:color="auto" w:fill="auto"/>
          </w:tcPr>
          <w:p w14:paraId="449495FC"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THI</w:t>
            </w:r>
          </w:p>
        </w:tc>
      </w:tr>
      <w:tr w:rsidR="007772B0" w14:paraId="514C9E27" w14:textId="77777777" w:rsidTr="009A32A4">
        <w:trPr>
          <w:jc w:val="center"/>
        </w:trPr>
        <w:tc>
          <w:tcPr>
            <w:tcW w:w="0" w:type="auto"/>
            <w:shd w:val="clear" w:color="auto" w:fill="auto"/>
          </w:tcPr>
          <w:p w14:paraId="34B8F62C"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2</w:t>
            </w:r>
          </w:p>
        </w:tc>
        <w:tc>
          <w:tcPr>
            <w:tcW w:w="0" w:type="auto"/>
            <w:shd w:val="clear" w:color="auto" w:fill="auto"/>
          </w:tcPr>
          <w:p w14:paraId="36C8D2D2"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HI</w:t>
            </w:r>
          </w:p>
        </w:tc>
      </w:tr>
      <w:tr w:rsidR="007772B0" w14:paraId="5AE585B8" w14:textId="77777777" w:rsidTr="009A32A4">
        <w:trPr>
          <w:jc w:val="center"/>
        </w:trPr>
        <w:tc>
          <w:tcPr>
            <w:tcW w:w="0" w:type="auto"/>
            <w:shd w:val="clear" w:color="auto" w:fill="auto"/>
          </w:tcPr>
          <w:p w14:paraId="035C0C2C"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3</w:t>
            </w:r>
          </w:p>
        </w:tc>
        <w:tc>
          <w:tcPr>
            <w:tcW w:w="0" w:type="auto"/>
            <w:shd w:val="clear" w:color="auto" w:fill="auto"/>
          </w:tcPr>
          <w:p w14:paraId="7D4BAAD4"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CDH60</w:t>
            </w:r>
          </w:p>
        </w:tc>
      </w:tr>
      <w:tr w:rsidR="007772B0" w14:paraId="2DC4C588" w14:textId="77777777" w:rsidTr="009A32A4">
        <w:trPr>
          <w:jc w:val="center"/>
        </w:trPr>
        <w:tc>
          <w:tcPr>
            <w:tcW w:w="0" w:type="auto"/>
            <w:shd w:val="clear" w:color="auto" w:fill="auto"/>
          </w:tcPr>
          <w:p w14:paraId="3247C3AE"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4</w:t>
            </w:r>
          </w:p>
        </w:tc>
        <w:tc>
          <w:tcPr>
            <w:tcW w:w="0" w:type="auto"/>
            <w:shd w:val="clear" w:color="auto" w:fill="auto"/>
          </w:tcPr>
          <w:p w14:paraId="062AA9E7"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CDH65</w:t>
            </w:r>
          </w:p>
        </w:tc>
      </w:tr>
      <w:tr w:rsidR="007772B0" w14:paraId="14F9FC9C" w14:textId="77777777" w:rsidTr="009A32A4">
        <w:trPr>
          <w:jc w:val="center"/>
        </w:trPr>
        <w:tc>
          <w:tcPr>
            <w:tcW w:w="0" w:type="auto"/>
            <w:shd w:val="clear" w:color="auto" w:fill="auto"/>
          </w:tcPr>
          <w:p w14:paraId="70DAB83D"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5</w:t>
            </w:r>
          </w:p>
        </w:tc>
        <w:tc>
          <w:tcPr>
            <w:tcW w:w="0" w:type="auto"/>
            <w:shd w:val="clear" w:color="auto" w:fill="auto"/>
          </w:tcPr>
          <w:p w14:paraId="11DAE117"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CDH60_MA3</w:t>
            </w:r>
          </w:p>
        </w:tc>
      </w:tr>
      <w:tr w:rsidR="007772B0" w14:paraId="585FD783" w14:textId="77777777" w:rsidTr="009A32A4">
        <w:trPr>
          <w:jc w:val="center"/>
        </w:trPr>
        <w:tc>
          <w:tcPr>
            <w:tcW w:w="0" w:type="auto"/>
            <w:shd w:val="clear" w:color="auto" w:fill="auto"/>
          </w:tcPr>
          <w:p w14:paraId="555CAA90"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6</w:t>
            </w:r>
          </w:p>
        </w:tc>
        <w:tc>
          <w:tcPr>
            <w:tcW w:w="0" w:type="auto"/>
            <w:shd w:val="clear" w:color="auto" w:fill="auto"/>
          </w:tcPr>
          <w:p w14:paraId="5F083180"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CDH65_MA3</w:t>
            </w:r>
          </w:p>
        </w:tc>
      </w:tr>
      <w:tr w:rsidR="007772B0" w14:paraId="39127455" w14:textId="77777777" w:rsidTr="009A32A4">
        <w:trPr>
          <w:jc w:val="center"/>
        </w:trPr>
        <w:tc>
          <w:tcPr>
            <w:tcW w:w="0" w:type="auto"/>
            <w:shd w:val="clear" w:color="auto" w:fill="auto"/>
          </w:tcPr>
          <w:p w14:paraId="6FDB9886"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7</w:t>
            </w:r>
          </w:p>
        </w:tc>
        <w:tc>
          <w:tcPr>
            <w:tcW w:w="0" w:type="auto"/>
            <w:shd w:val="clear" w:color="auto" w:fill="auto"/>
          </w:tcPr>
          <w:p w14:paraId="56774803"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THI THI_MA24</w:t>
            </w:r>
          </w:p>
        </w:tc>
      </w:tr>
      <w:tr w:rsidR="007772B0" w14:paraId="4CAAF2A0" w14:textId="77777777" w:rsidTr="009A32A4">
        <w:trPr>
          <w:jc w:val="center"/>
        </w:trPr>
        <w:tc>
          <w:tcPr>
            <w:tcW w:w="0" w:type="auto"/>
            <w:shd w:val="clear" w:color="auto" w:fill="auto"/>
          </w:tcPr>
          <w:p w14:paraId="1405A12C"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8</w:t>
            </w:r>
          </w:p>
        </w:tc>
        <w:tc>
          <w:tcPr>
            <w:tcW w:w="0" w:type="auto"/>
            <w:shd w:val="clear" w:color="auto" w:fill="auto"/>
          </w:tcPr>
          <w:p w14:paraId="3704C29E"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HI HI_MA24</w:t>
            </w:r>
          </w:p>
        </w:tc>
      </w:tr>
      <w:tr w:rsidR="007772B0" w14:paraId="4CA1D240" w14:textId="77777777" w:rsidTr="009A32A4">
        <w:trPr>
          <w:jc w:val="center"/>
        </w:trPr>
        <w:tc>
          <w:tcPr>
            <w:tcW w:w="0" w:type="auto"/>
            <w:shd w:val="clear" w:color="auto" w:fill="auto"/>
          </w:tcPr>
          <w:p w14:paraId="552ACC0D"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9</w:t>
            </w:r>
          </w:p>
        </w:tc>
        <w:tc>
          <w:tcPr>
            <w:tcW w:w="0" w:type="auto"/>
            <w:shd w:val="clear" w:color="auto" w:fill="auto"/>
          </w:tcPr>
          <w:p w14:paraId="65E2E616"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CDH60 CDH60_MA24</w:t>
            </w:r>
          </w:p>
        </w:tc>
      </w:tr>
      <w:tr w:rsidR="007772B0" w14:paraId="196A5929" w14:textId="77777777" w:rsidTr="009A32A4">
        <w:trPr>
          <w:jc w:val="center"/>
        </w:trPr>
        <w:tc>
          <w:tcPr>
            <w:tcW w:w="0" w:type="auto"/>
            <w:shd w:val="clear" w:color="auto" w:fill="auto"/>
          </w:tcPr>
          <w:p w14:paraId="770BCF8B"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10</w:t>
            </w:r>
          </w:p>
        </w:tc>
        <w:tc>
          <w:tcPr>
            <w:tcW w:w="0" w:type="auto"/>
            <w:shd w:val="clear" w:color="auto" w:fill="auto"/>
          </w:tcPr>
          <w:p w14:paraId="1B25EFB9"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CDH65 CDH65_MA24</w:t>
            </w:r>
          </w:p>
        </w:tc>
      </w:tr>
      <w:tr w:rsidR="007772B0" w14:paraId="6998B6F5" w14:textId="77777777" w:rsidTr="009A32A4">
        <w:trPr>
          <w:jc w:val="center"/>
        </w:trPr>
        <w:tc>
          <w:tcPr>
            <w:tcW w:w="0" w:type="auto"/>
            <w:shd w:val="clear" w:color="auto" w:fill="auto"/>
          </w:tcPr>
          <w:p w14:paraId="1FEB4247"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11</w:t>
            </w:r>
          </w:p>
        </w:tc>
        <w:tc>
          <w:tcPr>
            <w:tcW w:w="0" w:type="auto"/>
            <w:shd w:val="clear" w:color="auto" w:fill="auto"/>
          </w:tcPr>
          <w:p w14:paraId="1F5A631B"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CDH60_MA3 CDH60_MA24</w:t>
            </w:r>
          </w:p>
        </w:tc>
      </w:tr>
      <w:tr w:rsidR="007772B0" w14:paraId="7C6BA4D9" w14:textId="77777777" w:rsidTr="009A32A4">
        <w:trPr>
          <w:jc w:val="center"/>
        </w:trPr>
        <w:tc>
          <w:tcPr>
            <w:tcW w:w="0" w:type="auto"/>
            <w:shd w:val="clear" w:color="auto" w:fill="auto"/>
          </w:tcPr>
          <w:p w14:paraId="22AFBF08"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12</w:t>
            </w:r>
          </w:p>
        </w:tc>
        <w:tc>
          <w:tcPr>
            <w:tcW w:w="0" w:type="auto"/>
            <w:shd w:val="clear" w:color="auto" w:fill="auto"/>
          </w:tcPr>
          <w:p w14:paraId="4B404A35"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CDH65_MA3 CDH65_MA24</w:t>
            </w:r>
          </w:p>
        </w:tc>
      </w:tr>
      <w:tr w:rsidR="007772B0" w14:paraId="437FE6C4" w14:textId="77777777" w:rsidTr="009A32A4">
        <w:trPr>
          <w:jc w:val="center"/>
        </w:trPr>
        <w:tc>
          <w:tcPr>
            <w:tcW w:w="0" w:type="auto"/>
            <w:shd w:val="clear" w:color="auto" w:fill="auto"/>
          </w:tcPr>
          <w:p w14:paraId="48A0119E"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13</w:t>
            </w:r>
          </w:p>
        </w:tc>
        <w:tc>
          <w:tcPr>
            <w:tcW w:w="0" w:type="auto"/>
            <w:shd w:val="clear" w:color="auto" w:fill="auto"/>
          </w:tcPr>
          <w:p w14:paraId="3FD0ACBF"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THI Lag_CDD60</w:t>
            </w:r>
          </w:p>
        </w:tc>
      </w:tr>
      <w:tr w:rsidR="007772B0" w14:paraId="7987DE99" w14:textId="77777777" w:rsidTr="009A32A4">
        <w:trPr>
          <w:jc w:val="center"/>
        </w:trPr>
        <w:tc>
          <w:tcPr>
            <w:tcW w:w="0" w:type="auto"/>
            <w:shd w:val="clear" w:color="auto" w:fill="auto"/>
          </w:tcPr>
          <w:p w14:paraId="1CC4BCB4"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14</w:t>
            </w:r>
          </w:p>
        </w:tc>
        <w:tc>
          <w:tcPr>
            <w:tcW w:w="0" w:type="auto"/>
            <w:shd w:val="clear" w:color="auto" w:fill="auto"/>
          </w:tcPr>
          <w:p w14:paraId="42881484"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HI Lag_CDD60</w:t>
            </w:r>
          </w:p>
        </w:tc>
      </w:tr>
      <w:tr w:rsidR="007772B0" w14:paraId="0F13FCEB" w14:textId="77777777" w:rsidTr="009A32A4">
        <w:trPr>
          <w:jc w:val="center"/>
        </w:trPr>
        <w:tc>
          <w:tcPr>
            <w:tcW w:w="0" w:type="auto"/>
            <w:shd w:val="clear" w:color="auto" w:fill="auto"/>
          </w:tcPr>
          <w:p w14:paraId="6C737AD5"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15</w:t>
            </w:r>
          </w:p>
        </w:tc>
        <w:tc>
          <w:tcPr>
            <w:tcW w:w="0" w:type="auto"/>
            <w:shd w:val="clear" w:color="auto" w:fill="auto"/>
          </w:tcPr>
          <w:p w14:paraId="253C22E9"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CDH60 Lag_CDD60</w:t>
            </w:r>
          </w:p>
        </w:tc>
      </w:tr>
      <w:tr w:rsidR="007772B0" w14:paraId="040A5930" w14:textId="77777777" w:rsidTr="009A32A4">
        <w:trPr>
          <w:jc w:val="center"/>
        </w:trPr>
        <w:tc>
          <w:tcPr>
            <w:tcW w:w="0" w:type="auto"/>
            <w:shd w:val="clear" w:color="auto" w:fill="auto"/>
          </w:tcPr>
          <w:p w14:paraId="0CDA86A9"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16</w:t>
            </w:r>
          </w:p>
        </w:tc>
        <w:tc>
          <w:tcPr>
            <w:tcW w:w="0" w:type="auto"/>
            <w:shd w:val="clear" w:color="auto" w:fill="auto"/>
          </w:tcPr>
          <w:p w14:paraId="366CB938"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CDH65 Lag_CDD60</w:t>
            </w:r>
          </w:p>
        </w:tc>
      </w:tr>
      <w:tr w:rsidR="007772B0" w14:paraId="3FAA7D29" w14:textId="77777777" w:rsidTr="009A32A4">
        <w:trPr>
          <w:jc w:val="center"/>
        </w:trPr>
        <w:tc>
          <w:tcPr>
            <w:tcW w:w="0" w:type="auto"/>
            <w:shd w:val="clear" w:color="auto" w:fill="auto"/>
          </w:tcPr>
          <w:p w14:paraId="1C0C30A0"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17</w:t>
            </w:r>
          </w:p>
        </w:tc>
        <w:tc>
          <w:tcPr>
            <w:tcW w:w="0" w:type="auto"/>
            <w:shd w:val="clear" w:color="auto" w:fill="auto"/>
          </w:tcPr>
          <w:p w14:paraId="1AB227B8"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CDH60_MA3 Lag_CDD60</w:t>
            </w:r>
          </w:p>
        </w:tc>
      </w:tr>
      <w:tr w:rsidR="007772B0" w14:paraId="04B9023E" w14:textId="77777777" w:rsidTr="009A32A4">
        <w:trPr>
          <w:jc w:val="center"/>
        </w:trPr>
        <w:tc>
          <w:tcPr>
            <w:tcW w:w="0" w:type="auto"/>
            <w:shd w:val="clear" w:color="auto" w:fill="auto"/>
          </w:tcPr>
          <w:p w14:paraId="0A905408" w14:textId="77777777" w:rsidR="007772B0" w:rsidRPr="00AA745A" w:rsidRDefault="007772B0" w:rsidP="009A32A4">
            <w:pPr>
              <w:keepNext/>
              <w:keepLines/>
              <w:jc w:val="center"/>
              <w:rPr>
                <w:rFonts w:ascii="Arial" w:hAnsi="Arial" w:cs="Arial"/>
                <w:sz w:val="20"/>
                <w:szCs w:val="20"/>
              </w:rPr>
            </w:pPr>
            <w:r w:rsidRPr="00AA745A">
              <w:rPr>
                <w:rFonts w:ascii="Arial" w:hAnsi="Arial" w:cs="Arial"/>
                <w:sz w:val="20"/>
                <w:szCs w:val="20"/>
              </w:rPr>
              <w:t>18</w:t>
            </w:r>
          </w:p>
        </w:tc>
        <w:tc>
          <w:tcPr>
            <w:tcW w:w="0" w:type="auto"/>
            <w:shd w:val="clear" w:color="auto" w:fill="auto"/>
          </w:tcPr>
          <w:p w14:paraId="5DF46AFB" w14:textId="77777777" w:rsidR="007772B0" w:rsidRPr="00AA745A" w:rsidRDefault="007772B0" w:rsidP="009A32A4">
            <w:pPr>
              <w:keepNext/>
              <w:keepLines/>
              <w:rPr>
                <w:rFonts w:ascii="Arial" w:hAnsi="Arial" w:cs="Arial"/>
                <w:sz w:val="20"/>
                <w:szCs w:val="20"/>
              </w:rPr>
            </w:pPr>
            <w:r w:rsidRPr="00AA745A">
              <w:rPr>
                <w:rFonts w:ascii="Arial" w:hAnsi="Arial" w:cs="Arial"/>
                <w:sz w:val="20"/>
                <w:szCs w:val="20"/>
              </w:rPr>
              <w:t>CDH65_MA3 Lag_CDD60</w:t>
            </w:r>
          </w:p>
        </w:tc>
      </w:tr>
      <w:tr w:rsidR="00175FA8" w14:paraId="587D877C" w14:textId="77777777" w:rsidTr="009A32A4">
        <w:trPr>
          <w:jc w:val="center"/>
        </w:trPr>
        <w:tc>
          <w:tcPr>
            <w:tcW w:w="0" w:type="auto"/>
            <w:shd w:val="clear" w:color="auto" w:fill="auto"/>
          </w:tcPr>
          <w:p w14:paraId="2F689328" w14:textId="2E483366" w:rsidR="00175FA8" w:rsidRPr="00AA745A" w:rsidRDefault="00175FA8" w:rsidP="009A32A4">
            <w:pPr>
              <w:keepNext/>
              <w:keepLines/>
              <w:jc w:val="center"/>
              <w:rPr>
                <w:rFonts w:ascii="Arial" w:hAnsi="Arial" w:cs="Arial"/>
                <w:sz w:val="20"/>
                <w:szCs w:val="20"/>
              </w:rPr>
            </w:pPr>
            <w:r>
              <w:rPr>
                <w:rFonts w:ascii="Arial" w:hAnsi="Arial" w:cs="Arial"/>
                <w:sz w:val="20"/>
                <w:szCs w:val="20"/>
              </w:rPr>
              <w:t>19</w:t>
            </w:r>
          </w:p>
        </w:tc>
        <w:tc>
          <w:tcPr>
            <w:tcW w:w="0" w:type="auto"/>
            <w:shd w:val="clear" w:color="auto" w:fill="auto"/>
          </w:tcPr>
          <w:p w14:paraId="59E244FD" w14:textId="54187B94" w:rsidR="00175FA8" w:rsidRPr="00AA745A" w:rsidRDefault="00175FA8" w:rsidP="009A32A4">
            <w:pPr>
              <w:keepNext/>
              <w:keepLines/>
              <w:rPr>
                <w:rFonts w:ascii="Arial" w:hAnsi="Arial" w:cs="Arial"/>
                <w:sz w:val="20"/>
                <w:szCs w:val="20"/>
              </w:rPr>
            </w:pPr>
            <w:r>
              <w:rPr>
                <w:rFonts w:ascii="Arial" w:hAnsi="Arial" w:cs="Arial"/>
                <w:sz w:val="20"/>
                <w:szCs w:val="20"/>
              </w:rPr>
              <w:t>Mean17</w:t>
            </w:r>
          </w:p>
        </w:tc>
      </w:tr>
      <w:tr w:rsidR="00175FA8" w14:paraId="75DD73EC" w14:textId="77777777" w:rsidTr="009A32A4">
        <w:trPr>
          <w:jc w:val="center"/>
        </w:trPr>
        <w:tc>
          <w:tcPr>
            <w:tcW w:w="0" w:type="auto"/>
            <w:shd w:val="clear" w:color="auto" w:fill="auto"/>
          </w:tcPr>
          <w:p w14:paraId="7E085CED" w14:textId="70683716" w:rsidR="00175FA8" w:rsidRPr="00AA745A" w:rsidRDefault="00175FA8" w:rsidP="00175FA8">
            <w:pPr>
              <w:keepNext/>
              <w:keepLines/>
              <w:jc w:val="center"/>
              <w:rPr>
                <w:rFonts w:ascii="Arial" w:hAnsi="Arial" w:cs="Arial"/>
                <w:sz w:val="20"/>
                <w:szCs w:val="20"/>
              </w:rPr>
            </w:pPr>
            <w:r>
              <w:rPr>
                <w:rFonts w:ascii="Arial" w:hAnsi="Arial" w:cs="Arial"/>
                <w:sz w:val="20"/>
                <w:szCs w:val="20"/>
              </w:rPr>
              <w:t>20</w:t>
            </w:r>
          </w:p>
        </w:tc>
        <w:tc>
          <w:tcPr>
            <w:tcW w:w="0" w:type="auto"/>
            <w:shd w:val="clear" w:color="auto" w:fill="auto"/>
          </w:tcPr>
          <w:p w14:paraId="21E1FE17" w14:textId="29BD9637" w:rsidR="00175FA8" w:rsidRPr="00AA745A" w:rsidRDefault="00175FA8" w:rsidP="00175FA8">
            <w:pPr>
              <w:keepNext/>
              <w:keepLines/>
              <w:rPr>
                <w:rFonts w:ascii="Arial" w:hAnsi="Arial" w:cs="Arial"/>
                <w:sz w:val="20"/>
                <w:szCs w:val="20"/>
              </w:rPr>
            </w:pPr>
            <w:r>
              <w:rPr>
                <w:rFonts w:ascii="Arial" w:hAnsi="Arial" w:cs="Arial"/>
                <w:sz w:val="20"/>
                <w:szCs w:val="20"/>
              </w:rPr>
              <w:t>CDH60 Mean17</w:t>
            </w:r>
          </w:p>
        </w:tc>
      </w:tr>
      <w:tr w:rsidR="00175FA8" w14:paraId="0811CF3E" w14:textId="77777777" w:rsidTr="009A32A4">
        <w:trPr>
          <w:jc w:val="center"/>
        </w:trPr>
        <w:tc>
          <w:tcPr>
            <w:tcW w:w="0" w:type="auto"/>
            <w:shd w:val="clear" w:color="auto" w:fill="auto"/>
          </w:tcPr>
          <w:p w14:paraId="60855466" w14:textId="69163B81" w:rsidR="00175FA8" w:rsidRPr="00AA745A" w:rsidRDefault="00175FA8" w:rsidP="00175FA8">
            <w:pPr>
              <w:keepNext/>
              <w:keepLines/>
              <w:jc w:val="center"/>
              <w:rPr>
                <w:rFonts w:ascii="Arial" w:hAnsi="Arial" w:cs="Arial"/>
                <w:sz w:val="20"/>
                <w:szCs w:val="20"/>
              </w:rPr>
            </w:pPr>
            <w:r>
              <w:rPr>
                <w:rFonts w:ascii="Arial" w:hAnsi="Arial" w:cs="Arial"/>
                <w:sz w:val="20"/>
                <w:szCs w:val="20"/>
              </w:rPr>
              <w:t>21</w:t>
            </w:r>
          </w:p>
        </w:tc>
        <w:tc>
          <w:tcPr>
            <w:tcW w:w="0" w:type="auto"/>
            <w:shd w:val="clear" w:color="auto" w:fill="auto"/>
          </w:tcPr>
          <w:p w14:paraId="7603BA5F" w14:textId="09D23FC4" w:rsidR="00175FA8" w:rsidRPr="00AA745A" w:rsidRDefault="00175FA8" w:rsidP="00175FA8">
            <w:pPr>
              <w:keepNext/>
              <w:keepLines/>
              <w:rPr>
                <w:rFonts w:ascii="Arial" w:hAnsi="Arial" w:cs="Arial"/>
                <w:sz w:val="20"/>
                <w:szCs w:val="20"/>
              </w:rPr>
            </w:pPr>
            <w:r>
              <w:rPr>
                <w:rFonts w:ascii="Arial" w:hAnsi="Arial" w:cs="Arial"/>
                <w:sz w:val="20"/>
                <w:szCs w:val="20"/>
              </w:rPr>
              <w:t>CDH65 Mean17</w:t>
            </w:r>
          </w:p>
        </w:tc>
      </w:tr>
    </w:tbl>
    <w:p w14:paraId="4897BCF2" w14:textId="77777777" w:rsidR="007772B0" w:rsidRDefault="007772B0" w:rsidP="007772B0"/>
    <w:p w14:paraId="00386124" w14:textId="77777777" w:rsidR="007772B0" w:rsidRDefault="007772B0" w:rsidP="007772B0">
      <w:r w:rsidRPr="00CE0406">
        <w:t xml:space="preserve">The model variations </w:t>
      </w:r>
      <w:r>
        <w:t xml:space="preserve">are </w:t>
      </w:r>
      <w:r w:rsidRPr="00CE0406">
        <w:t xml:space="preserve">evaluated according to </w:t>
      </w:r>
      <w:r>
        <w:t>two primary validation tests:</w:t>
      </w:r>
    </w:p>
    <w:p w14:paraId="0DF351A9" w14:textId="77777777" w:rsidR="007772B0" w:rsidRDefault="007772B0" w:rsidP="007772B0">
      <w:pPr>
        <w:numPr>
          <w:ilvl w:val="0"/>
          <w:numId w:val="8"/>
        </w:numPr>
      </w:pPr>
      <w:r>
        <w:t>A</w:t>
      </w:r>
      <w:r w:rsidRPr="00CE0406">
        <w:t xml:space="preserve">bility to predict usage on event-like </w:t>
      </w:r>
      <w:r w:rsidRPr="005E736C">
        <w:rPr>
          <w:i/>
        </w:rPr>
        <w:t>non-event days</w:t>
      </w:r>
      <w:r w:rsidRPr="00CE0406">
        <w:t xml:space="preserve">. Specifically, we </w:t>
      </w:r>
      <w:r>
        <w:t>identified</w:t>
      </w:r>
      <w:r w:rsidRPr="00CE0406">
        <w:t xml:space="preserve"> </w:t>
      </w:r>
      <w:r>
        <w:t xml:space="preserve">a set of </w:t>
      </w:r>
      <w:r w:rsidRPr="00CE0406">
        <w:t xml:space="preserve">days that </w:t>
      </w:r>
      <w:r>
        <w:t>we</w:t>
      </w:r>
      <w:r w:rsidRPr="00CE0406">
        <w:t xml:space="preserve">re similar to event days, but were not called as event days (i.e., “test days”). The use of non-event test days allows us to test model performance against known “reference loads,” or customer usage in the absence of an event. We estimate the model excluding </w:t>
      </w:r>
      <w:r>
        <w:t xml:space="preserve">one of </w:t>
      </w:r>
      <w:r w:rsidRPr="00CE0406">
        <w:t>the test days and use the estimates to make out-of-sample predictions of customer loads on th</w:t>
      </w:r>
      <w:r>
        <w:t xml:space="preserve">at </w:t>
      </w:r>
      <w:r w:rsidRPr="00CE0406">
        <w:t>day.</w:t>
      </w:r>
      <w:r>
        <w:t xml:space="preserve"> The process is repeated for all of the test days.</w:t>
      </w:r>
      <w:r w:rsidRPr="00CE0406">
        <w:t xml:space="preserve"> The model fit (i.e., the difference between the actual and predicted loads on the test days, during afternoon hours in which events are typically called) </w:t>
      </w:r>
      <w:r>
        <w:t xml:space="preserve">is evaluated </w:t>
      </w:r>
      <w:r w:rsidRPr="00CE0406">
        <w:t xml:space="preserve">using mean absolute percentage error (MAPE) as </w:t>
      </w:r>
      <w:r>
        <w:t xml:space="preserve">a measure of </w:t>
      </w:r>
      <w:r w:rsidRPr="00CE0406">
        <w:t>accuracy</w:t>
      </w:r>
      <w:r>
        <w:t>,</w:t>
      </w:r>
      <w:r w:rsidRPr="00CE0406">
        <w:t xml:space="preserve"> and mean percentage error (MPE) as a measure of bias. </w:t>
      </w:r>
    </w:p>
    <w:p w14:paraId="4A9080FC" w14:textId="77777777" w:rsidR="007772B0" w:rsidRDefault="007772B0" w:rsidP="007772B0">
      <w:pPr>
        <w:numPr>
          <w:ilvl w:val="0"/>
          <w:numId w:val="8"/>
        </w:numPr>
      </w:pPr>
      <w:r>
        <w:t xml:space="preserve">Performance on </w:t>
      </w:r>
      <w:r w:rsidRPr="005E736C">
        <w:rPr>
          <w:i/>
        </w:rPr>
        <w:t>synthetic</w:t>
      </w:r>
      <w:r>
        <w:t xml:space="preserve"> event days (e.g., event-like non-event days that are treated as event days in estimation), to test for “event” coefficients that demonstrate statistically significant bias, as opposed to expected non-significance, since customers have no reason to modify usage on days that are not actual events. This is an extension of the previous test. The same test days are used, with a set of hourly “synthetic” event variables included in addition to the rest of the specification to test whether non-zero load impacts are estimated for these days. A successful test involves synthetic event load impact coefficients that are not statistically significantly different from zero.</w:t>
      </w:r>
    </w:p>
    <w:p w14:paraId="24B11B6C" w14:textId="77777777" w:rsidR="007772B0" w:rsidRDefault="007772B0" w:rsidP="007772B0">
      <w:pPr>
        <w:pStyle w:val="Heading3"/>
      </w:pPr>
      <w:bookmarkStart w:id="337" w:name="_Toc415761861"/>
      <w:r>
        <w:lastRenderedPageBreak/>
        <w:t>A.1.1 Selection of Event-Like Non-Event Days</w:t>
      </w:r>
      <w:bookmarkEnd w:id="337"/>
    </w:p>
    <w:p w14:paraId="3975BC0D" w14:textId="77777777" w:rsidR="007772B0" w:rsidRDefault="007772B0" w:rsidP="007772B0">
      <w:r>
        <w:t xml:space="preserve">In order to select event-like non-event days, we created an average weather profile using the load-weighted average temperature across customers, each of which is associated with a weather station. </w:t>
      </w:r>
    </w:p>
    <w:p w14:paraId="74BC12F0" w14:textId="77777777" w:rsidR="007772B0" w:rsidRDefault="007772B0" w:rsidP="007772B0"/>
    <w:p w14:paraId="6E2F87AE" w14:textId="564E1F07" w:rsidR="007772B0" w:rsidRDefault="007772B0" w:rsidP="007772B0">
      <w:r>
        <w:t>We selected days according to the average event-hour temperature (e.g., hours-ending 13 through 20 for PG&amp;E), omitting holidays, weekends, and event days for programs in which DBP customers are dually enrolled (e.g., B</w:t>
      </w:r>
      <w:r w:rsidR="00175FA8">
        <w:t>I</w:t>
      </w:r>
      <w:r>
        <w:t xml:space="preserve">P). For the most part, the selection involved selecting the hottest qualifying days. Table A.2 lists the event-like non-event days selected for each </w:t>
      </w:r>
      <w:r w:rsidR="005E22A0">
        <w:t>IOU</w:t>
      </w:r>
      <w:r>
        <w:t>.</w:t>
      </w:r>
    </w:p>
    <w:p w14:paraId="30752036" w14:textId="77777777" w:rsidR="007772B0" w:rsidRDefault="007772B0" w:rsidP="007772B0"/>
    <w:p w14:paraId="18619727" w14:textId="78FD2ED3" w:rsidR="007772B0" w:rsidRPr="0088530C" w:rsidRDefault="007772B0" w:rsidP="007772B0">
      <w:pPr>
        <w:pStyle w:val="TableCaption"/>
        <w:keepNext/>
        <w:keepLines/>
      </w:pPr>
      <w:bookmarkStart w:id="338" w:name="_Toc415761908"/>
      <w:r w:rsidRPr="0088530C">
        <w:t xml:space="preserve">Table </w:t>
      </w:r>
      <w:r>
        <w:t>A</w:t>
      </w:r>
      <w:r w:rsidRPr="0088530C">
        <w:t xml:space="preserve">.2: List of Event-Like Non-Event Days by </w:t>
      </w:r>
      <w:r w:rsidR="005E22A0">
        <w:t>IOU</w:t>
      </w:r>
      <w:bookmarkEnd w:id="3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106"/>
        <w:gridCol w:w="1106"/>
      </w:tblGrid>
      <w:tr w:rsidR="005813FA" w14:paraId="3C9C6487" w14:textId="77777777" w:rsidTr="009A32A4">
        <w:trPr>
          <w:jc w:val="center"/>
        </w:trPr>
        <w:tc>
          <w:tcPr>
            <w:tcW w:w="0" w:type="auto"/>
            <w:shd w:val="clear" w:color="auto" w:fill="D9E2F3"/>
            <w:vAlign w:val="center"/>
          </w:tcPr>
          <w:p w14:paraId="72F07D58" w14:textId="77777777" w:rsidR="005813FA" w:rsidRDefault="005813FA" w:rsidP="009A32A4">
            <w:pPr>
              <w:keepNext/>
              <w:keepLines/>
              <w:jc w:val="center"/>
              <w:rPr>
                <w:rFonts w:ascii="Arial" w:hAnsi="Arial" w:cs="Arial"/>
                <w:b/>
                <w:sz w:val="20"/>
                <w:szCs w:val="20"/>
              </w:rPr>
            </w:pPr>
          </w:p>
          <w:p w14:paraId="0F05926E" w14:textId="77777777" w:rsidR="005813FA" w:rsidRDefault="005813FA" w:rsidP="009A32A4">
            <w:pPr>
              <w:keepNext/>
              <w:keepLines/>
              <w:jc w:val="center"/>
              <w:rPr>
                <w:rFonts w:ascii="Arial" w:hAnsi="Arial" w:cs="Arial"/>
                <w:b/>
                <w:sz w:val="20"/>
                <w:szCs w:val="20"/>
              </w:rPr>
            </w:pPr>
            <w:r w:rsidRPr="00AA745A">
              <w:rPr>
                <w:rFonts w:ascii="Arial" w:hAnsi="Arial" w:cs="Arial"/>
                <w:b/>
                <w:sz w:val="20"/>
                <w:szCs w:val="20"/>
              </w:rPr>
              <w:t>PG&amp;E</w:t>
            </w:r>
          </w:p>
          <w:p w14:paraId="63CF4A5E" w14:textId="77777777" w:rsidR="005813FA" w:rsidRPr="00AA745A" w:rsidRDefault="005813FA" w:rsidP="009A32A4">
            <w:pPr>
              <w:keepNext/>
              <w:keepLines/>
              <w:jc w:val="center"/>
              <w:rPr>
                <w:rFonts w:ascii="Arial" w:hAnsi="Arial" w:cs="Arial"/>
                <w:b/>
                <w:sz w:val="20"/>
                <w:szCs w:val="20"/>
              </w:rPr>
            </w:pPr>
          </w:p>
        </w:tc>
        <w:tc>
          <w:tcPr>
            <w:tcW w:w="0" w:type="auto"/>
            <w:shd w:val="clear" w:color="auto" w:fill="D9E2F3"/>
            <w:vAlign w:val="center"/>
          </w:tcPr>
          <w:p w14:paraId="2264F222" w14:textId="77777777" w:rsidR="005813FA" w:rsidRPr="00AA745A" w:rsidRDefault="005813FA" w:rsidP="009A32A4">
            <w:pPr>
              <w:keepNext/>
              <w:keepLines/>
              <w:jc w:val="center"/>
              <w:rPr>
                <w:rFonts w:ascii="Arial" w:hAnsi="Arial" w:cs="Arial"/>
                <w:b/>
                <w:sz w:val="20"/>
                <w:szCs w:val="20"/>
              </w:rPr>
            </w:pPr>
            <w:r w:rsidRPr="00AA745A">
              <w:rPr>
                <w:rFonts w:ascii="Arial" w:hAnsi="Arial" w:cs="Arial"/>
                <w:b/>
                <w:sz w:val="20"/>
                <w:szCs w:val="20"/>
              </w:rPr>
              <w:t>SCE</w:t>
            </w:r>
          </w:p>
        </w:tc>
        <w:tc>
          <w:tcPr>
            <w:tcW w:w="0" w:type="auto"/>
            <w:shd w:val="clear" w:color="auto" w:fill="D9E2F3"/>
            <w:vAlign w:val="center"/>
          </w:tcPr>
          <w:p w14:paraId="15A9D11B" w14:textId="59A63F92" w:rsidR="005813FA" w:rsidRPr="00AA745A" w:rsidRDefault="005813FA" w:rsidP="005813FA">
            <w:pPr>
              <w:keepNext/>
              <w:keepLines/>
              <w:jc w:val="center"/>
              <w:rPr>
                <w:rFonts w:ascii="Arial" w:hAnsi="Arial" w:cs="Arial"/>
                <w:b/>
                <w:sz w:val="20"/>
                <w:szCs w:val="20"/>
              </w:rPr>
            </w:pPr>
            <w:r w:rsidRPr="00AA745A">
              <w:rPr>
                <w:rFonts w:ascii="Arial" w:hAnsi="Arial" w:cs="Arial"/>
                <w:b/>
                <w:sz w:val="20"/>
                <w:szCs w:val="20"/>
              </w:rPr>
              <w:t>SDG&amp;E</w:t>
            </w:r>
          </w:p>
        </w:tc>
      </w:tr>
      <w:tr w:rsidR="005813FA" w14:paraId="184263CF" w14:textId="77777777" w:rsidTr="001D2BA7">
        <w:trPr>
          <w:jc w:val="center"/>
        </w:trPr>
        <w:tc>
          <w:tcPr>
            <w:tcW w:w="0" w:type="auto"/>
            <w:shd w:val="clear" w:color="auto" w:fill="auto"/>
          </w:tcPr>
          <w:p w14:paraId="56C9728C" w14:textId="3A060B04"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5/13/2014</w:t>
            </w:r>
          </w:p>
        </w:tc>
        <w:tc>
          <w:tcPr>
            <w:tcW w:w="0" w:type="auto"/>
            <w:shd w:val="clear" w:color="auto" w:fill="auto"/>
          </w:tcPr>
          <w:p w14:paraId="093C4718" w14:textId="38FA204C"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7/15/2014</w:t>
            </w:r>
          </w:p>
        </w:tc>
        <w:tc>
          <w:tcPr>
            <w:tcW w:w="0" w:type="auto"/>
            <w:shd w:val="clear" w:color="auto" w:fill="auto"/>
            <w:vAlign w:val="center"/>
          </w:tcPr>
          <w:p w14:paraId="68801C36" w14:textId="3C9A7117" w:rsidR="005813FA" w:rsidRPr="00AA745A" w:rsidRDefault="005813FA" w:rsidP="009E692D">
            <w:pPr>
              <w:keepNext/>
              <w:keepLines/>
              <w:jc w:val="right"/>
              <w:rPr>
                <w:rFonts w:ascii="Arial" w:hAnsi="Arial" w:cs="Arial"/>
                <w:sz w:val="20"/>
                <w:szCs w:val="20"/>
              </w:rPr>
            </w:pPr>
            <w:r>
              <w:rPr>
                <w:rFonts w:ascii="Arial" w:hAnsi="Arial" w:cs="Arial"/>
                <w:sz w:val="20"/>
                <w:szCs w:val="20"/>
              </w:rPr>
              <w:t>5/1/2014</w:t>
            </w:r>
          </w:p>
        </w:tc>
      </w:tr>
      <w:tr w:rsidR="005813FA" w14:paraId="33B4C45B" w14:textId="77777777" w:rsidTr="001D2BA7">
        <w:trPr>
          <w:jc w:val="center"/>
        </w:trPr>
        <w:tc>
          <w:tcPr>
            <w:tcW w:w="0" w:type="auto"/>
            <w:shd w:val="clear" w:color="auto" w:fill="auto"/>
          </w:tcPr>
          <w:p w14:paraId="45FBBD29" w14:textId="14E17238"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6/5/2014</w:t>
            </w:r>
          </w:p>
        </w:tc>
        <w:tc>
          <w:tcPr>
            <w:tcW w:w="0" w:type="auto"/>
            <w:shd w:val="clear" w:color="auto" w:fill="auto"/>
          </w:tcPr>
          <w:p w14:paraId="6594BA3D" w14:textId="6EB5C758"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7/24/2014</w:t>
            </w:r>
          </w:p>
        </w:tc>
        <w:tc>
          <w:tcPr>
            <w:tcW w:w="0" w:type="auto"/>
            <w:shd w:val="clear" w:color="auto" w:fill="auto"/>
            <w:vAlign w:val="center"/>
          </w:tcPr>
          <w:p w14:paraId="15B9A907" w14:textId="0BF15FA4" w:rsidR="005813FA" w:rsidRPr="00AA745A" w:rsidRDefault="005813FA" w:rsidP="009E692D">
            <w:pPr>
              <w:keepNext/>
              <w:keepLines/>
              <w:jc w:val="right"/>
              <w:rPr>
                <w:rFonts w:ascii="Arial" w:hAnsi="Arial" w:cs="Arial"/>
                <w:sz w:val="20"/>
                <w:szCs w:val="20"/>
              </w:rPr>
            </w:pPr>
            <w:r>
              <w:rPr>
                <w:rFonts w:ascii="Arial" w:hAnsi="Arial" w:cs="Arial"/>
                <w:sz w:val="20"/>
                <w:szCs w:val="20"/>
              </w:rPr>
              <w:t>5/2/2014</w:t>
            </w:r>
          </w:p>
        </w:tc>
      </w:tr>
      <w:tr w:rsidR="005813FA" w14:paraId="540C99B9" w14:textId="77777777" w:rsidTr="001D2BA7">
        <w:trPr>
          <w:jc w:val="center"/>
        </w:trPr>
        <w:tc>
          <w:tcPr>
            <w:tcW w:w="0" w:type="auto"/>
            <w:shd w:val="clear" w:color="auto" w:fill="auto"/>
          </w:tcPr>
          <w:p w14:paraId="38DDAF53" w14:textId="27E7990D"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7/8/2014</w:t>
            </w:r>
          </w:p>
        </w:tc>
        <w:tc>
          <w:tcPr>
            <w:tcW w:w="0" w:type="auto"/>
            <w:shd w:val="clear" w:color="auto" w:fill="auto"/>
          </w:tcPr>
          <w:p w14:paraId="2B9BDBF2" w14:textId="4EAD5C9A"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7/28/2014</w:t>
            </w:r>
          </w:p>
        </w:tc>
        <w:tc>
          <w:tcPr>
            <w:tcW w:w="0" w:type="auto"/>
            <w:shd w:val="clear" w:color="auto" w:fill="auto"/>
            <w:vAlign w:val="center"/>
          </w:tcPr>
          <w:p w14:paraId="15518FC2" w14:textId="45EED9B7" w:rsidR="005813FA" w:rsidRPr="00AA745A" w:rsidRDefault="005813FA" w:rsidP="009E692D">
            <w:pPr>
              <w:keepNext/>
              <w:keepLines/>
              <w:jc w:val="right"/>
              <w:rPr>
                <w:rFonts w:ascii="Arial" w:hAnsi="Arial" w:cs="Arial"/>
                <w:sz w:val="20"/>
                <w:szCs w:val="20"/>
              </w:rPr>
            </w:pPr>
            <w:r>
              <w:rPr>
                <w:rFonts w:ascii="Arial" w:hAnsi="Arial" w:cs="Arial"/>
                <w:sz w:val="20"/>
                <w:szCs w:val="20"/>
              </w:rPr>
              <w:t>5/12/2014</w:t>
            </w:r>
          </w:p>
        </w:tc>
      </w:tr>
      <w:tr w:rsidR="005813FA" w14:paraId="2F74A61C" w14:textId="77777777" w:rsidTr="001D2BA7">
        <w:trPr>
          <w:jc w:val="center"/>
        </w:trPr>
        <w:tc>
          <w:tcPr>
            <w:tcW w:w="0" w:type="auto"/>
            <w:shd w:val="clear" w:color="auto" w:fill="auto"/>
          </w:tcPr>
          <w:p w14:paraId="0272250E" w14:textId="7AE73EDE"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7/24/2014</w:t>
            </w:r>
          </w:p>
        </w:tc>
        <w:tc>
          <w:tcPr>
            <w:tcW w:w="0" w:type="auto"/>
            <w:shd w:val="clear" w:color="auto" w:fill="auto"/>
          </w:tcPr>
          <w:p w14:paraId="70042B34" w14:textId="6BC64D7E"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8/15/2014</w:t>
            </w:r>
          </w:p>
        </w:tc>
        <w:tc>
          <w:tcPr>
            <w:tcW w:w="0" w:type="auto"/>
            <w:shd w:val="clear" w:color="auto" w:fill="auto"/>
            <w:vAlign w:val="center"/>
          </w:tcPr>
          <w:p w14:paraId="6AFA4EAB" w14:textId="772311BA" w:rsidR="005813FA" w:rsidRPr="00AA745A" w:rsidRDefault="005813FA" w:rsidP="009E692D">
            <w:pPr>
              <w:keepNext/>
              <w:keepLines/>
              <w:jc w:val="right"/>
              <w:rPr>
                <w:rFonts w:ascii="Arial" w:hAnsi="Arial" w:cs="Arial"/>
                <w:sz w:val="20"/>
                <w:szCs w:val="20"/>
              </w:rPr>
            </w:pPr>
            <w:r>
              <w:rPr>
                <w:rFonts w:ascii="Arial" w:hAnsi="Arial" w:cs="Arial"/>
                <w:sz w:val="20"/>
                <w:szCs w:val="20"/>
              </w:rPr>
              <w:t>5/13/2014</w:t>
            </w:r>
          </w:p>
        </w:tc>
      </w:tr>
      <w:tr w:rsidR="005813FA" w14:paraId="5D17C1EB" w14:textId="77777777" w:rsidTr="001D2BA7">
        <w:trPr>
          <w:jc w:val="center"/>
        </w:trPr>
        <w:tc>
          <w:tcPr>
            <w:tcW w:w="0" w:type="auto"/>
            <w:shd w:val="clear" w:color="auto" w:fill="auto"/>
          </w:tcPr>
          <w:p w14:paraId="2915402A" w14:textId="1463BEDD"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8/8/2014</w:t>
            </w:r>
          </w:p>
        </w:tc>
        <w:tc>
          <w:tcPr>
            <w:tcW w:w="0" w:type="auto"/>
            <w:shd w:val="clear" w:color="auto" w:fill="auto"/>
          </w:tcPr>
          <w:p w14:paraId="2F4B4361" w14:textId="3197DAE7"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8/21/2014</w:t>
            </w:r>
          </w:p>
        </w:tc>
        <w:tc>
          <w:tcPr>
            <w:tcW w:w="0" w:type="auto"/>
            <w:shd w:val="clear" w:color="auto" w:fill="auto"/>
            <w:vAlign w:val="center"/>
          </w:tcPr>
          <w:p w14:paraId="7564BBF3" w14:textId="176BFB04" w:rsidR="005813FA" w:rsidRPr="00AA745A" w:rsidRDefault="005813FA" w:rsidP="009E692D">
            <w:pPr>
              <w:keepNext/>
              <w:keepLines/>
              <w:jc w:val="right"/>
              <w:rPr>
                <w:rFonts w:ascii="Arial" w:hAnsi="Arial" w:cs="Arial"/>
                <w:sz w:val="20"/>
                <w:szCs w:val="20"/>
              </w:rPr>
            </w:pPr>
            <w:r>
              <w:rPr>
                <w:rFonts w:ascii="Arial" w:hAnsi="Arial" w:cs="Arial"/>
                <w:sz w:val="20"/>
                <w:szCs w:val="20"/>
              </w:rPr>
              <w:t>8/28/2014</w:t>
            </w:r>
          </w:p>
        </w:tc>
      </w:tr>
      <w:tr w:rsidR="005813FA" w14:paraId="59D42CEB" w14:textId="77777777" w:rsidTr="001D2BA7">
        <w:trPr>
          <w:jc w:val="center"/>
        </w:trPr>
        <w:tc>
          <w:tcPr>
            <w:tcW w:w="0" w:type="auto"/>
            <w:shd w:val="clear" w:color="auto" w:fill="auto"/>
          </w:tcPr>
          <w:p w14:paraId="737732EE" w14:textId="519DF3A2"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8/14/2014</w:t>
            </w:r>
          </w:p>
        </w:tc>
        <w:tc>
          <w:tcPr>
            <w:tcW w:w="0" w:type="auto"/>
            <w:shd w:val="clear" w:color="auto" w:fill="auto"/>
          </w:tcPr>
          <w:p w14:paraId="3EE9B724" w14:textId="29B59AC6"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8/22/2014</w:t>
            </w:r>
          </w:p>
        </w:tc>
        <w:tc>
          <w:tcPr>
            <w:tcW w:w="0" w:type="auto"/>
            <w:shd w:val="clear" w:color="auto" w:fill="auto"/>
            <w:vAlign w:val="center"/>
          </w:tcPr>
          <w:p w14:paraId="2723C276" w14:textId="24899867" w:rsidR="005813FA" w:rsidRPr="00AA745A" w:rsidRDefault="005813FA" w:rsidP="009E692D">
            <w:pPr>
              <w:keepNext/>
              <w:keepLines/>
              <w:jc w:val="right"/>
              <w:rPr>
                <w:rFonts w:ascii="Arial" w:hAnsi="Arial" w:cs="Arial"/>
                <w:sz w:val="20"/>
                <w:szCs w:val="20"/>
              </w:rPr>
            </w:pPr>
            <w:r>
              <w:rPr>
                <w:rFonts w:ascii="Arial" w:hAnsi="Arial" w:cs="Arial"/>
                <w:sz w:val="20"/>
                <w:szCs w:val="20"/>
              </w:rPr>
              <w:t>9/8/2014</w:t>
            </w:r>
          </w:p>
        </w:tc>
      </w:tr>
      <w:tr w:rsidR="005813FA" w14:paraId="1BB8F3EB" w14:textId="77777777" w:rsidTr="001D2BA7">
        <w:trPr>
          <w:jc w:val="center"/>
        </w:trPr>
        <w:tc>
          <w:tcPr>
            <w:tcW w:w="0" w:type="auto"/>
            <w:shd w:val="clear" w:color="auto" w:fill="auto"/>
          </w:tcPr>
          <w:p w14:paraId="3BCC2C4E" w14:textId="33987567"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8/15/2014</w:t>
            </w:r>
          </w:p>
        </w:tc>
        <w:tc>
          <w:tcPr>
            <w:tcW w:w="0" w:type="auto"/>
            <w:shd w:val="clear" w:color="auto" w:fill="auto"/>
          </w:tcPr>
          <w:p w14:paraId="22CC8C9F" w14:textId="36FF6304"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9/18/2014</w:t>
            </w:r>
          </w:p>
        </w:tc>
        <w:tc>
          <w:tcPr>
            <w:tcW w:w="0" w:type="auto"/>
            <w:shd w:val="clear" w:color="auto" w:fill="auto"/>
            <w:vAlign w:val="center"/>
          </w:tcPr>
          <w:p w14:paraId="1C3B72E6" w14:textId="4DA879FD" w:rsidR="005813FA" w:rsidRPr="00AA745A" w:rsidRDefault="005813FA" w:rsidP="009E692D">
            <w:pPr>
              <w:keepNext/>
              <w:keepLines/>
              <w:jc w:val="right"/>
              <w:rPr>
                <w:rFonts w:ascii="Arial" w:hAnsi="Arial" w:cs="Arial"/>
                <w:sz w:val="20"/>
                <w:szCs w:val="20"/>
              </w:rPr>
            </w:pPr>
            <w:r>
              <w:rPr>
                <w:rFonts w:ascii="Arial" w:hAnsi="Arial" w:cs="Arial"/>
                <w:sz w:val="20"/>
                <w:szCs w:val="20"/>
              </w:rPr>
              <w:t>9/15/2014</w:t>
            </w:r>
          </w:p>
        </w:tc>
      </w:tr>
      <w:tr w:rsidR="005813FA" w14:paraId="29BB5157" w14:textId="77777777" w:rsidTr="001D2BA7">
        <w:trPr>
          <w:jc w:val="center"/>
        </w:trPr>
        <w:tc>
          <w:tcPr>
            <w:tcW w:w="0" w:type="auto"/>
            <w:shd w:val="clear" w:color="auto" w:fill="auto"/>
          </w:tcPr>
          <w:p w14:paraId="21724E2C" w14:textId="7ADCCB4D"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8/27/2014</w:t>
            </w:r>
          </w:p>
        </w:tc>
        <w:tc>
          <w:tcPr>
            <w:tcW w:w="0" w:type="auto"/>
            <w:shd w:val="clear" w:color="auto" w:fill="auto"/>
          </w:tcPr>
          <w:p w14:paraId="392DB29F" w14:textId="7E86560F"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9/24/2014</w:t>
            </w:r>
          </w:p>
        </w:tc>
        <w:tc>
          <w:tcPr>
            <w:tcW w:w="0" w:type="auto"/>
            <w:shd w:val="clear" w:color="auto" w:fill="auto"/>
            <w:vAlign w:val="center"/>
          </w:tcPr>
          <w:p w14:paraId="292A3FED" w14:textId="025A30FF" w:rsidR="005813FA" w:rsidRPr="00AA745A" w:rsidRDefault="005813FA" w:rsidP="009E692D">
            <w:pPr>
              <w:keepNext/>
              <w:keepLines/>
              <w:jc w:val="right"/>
              <w:rPr>
                <w:rFonts w:ascii="Arial" w:hAnsi="Arial" w:cs="Arial"/>
                <w:sz w:val="20"/>
                <w:szCs w:val="20"/>
              </w:rPr>
            </w:pPr>
          </w:p>
        </w:tc>
      </w:tr>
      <w:tr w:rsidR="005813FA" w14:paraId="1B186F57" w14:textId="77777777" w:rsidTr="001D2BA7">
        <w:trPr>
          <w:jc w:val="center"/>
        </w:trPr>
        <w:tc>
          <w:tcPr>
            <w:tcW w:w="0" w:type="auto"/>
            <w:shd w:val="clear" w:color="auto" w:fill="auto"/>
          </w:tcPr>
          <w:p w14:paraId="122C4189" w14:textId="037055D8"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8/28/2014</w:t>
            </w:r>
          </w:p>
        </w:tc>
        <w:tc>
          <w:tcPr>
            <w:tcW w:w="0" w:type="auto"/>
            <w:shd w:val="clear" w:color="auto" w:fill="auto"/>
            <w:vAlign w:val="center"/>
          </w:tcPr>
          <w:p w14:paraId="46DAF0D2" w14:textId="221421D3" w:rsidR="005813FA" w:rsidRPr="00AA745A" w:rsidRDefault="005813FA" w:rsidP="009E692D">
            <w:pPr>
              <w:keepNext/>
              <w:keepLines/>
              <w:jc w:val="right"/>
              <w:rPr>
                <w:rFonts w:ascii="Arial" w:hAnsi="Arial" w:cs="Arial"/>
                <w:sz w:val="20"/>
                <w:szCs w:val="20"/>
              </w:rPr>
            </w:pPr>
          </w:p>
        </w:tc>
        <w:tc>
          <w:tcPr>
            <w:tcW w:w="0" w:type="auto"/>
            <w:shd w:val="clear" w:color="auto" w:fill="auto"/>
            <w:vAlign w:val="center"/>
          </w:tcPr>
          <w:p w14:paraId="58559023" w14:textId="591661E7" w:rsidR="005813FA" w:rsidRPr="00AA745A" w:rsidRDefault="005813FA" w:rsidP="009E692D">
            <w:pPr>
              <w:keepNext/>
              <w:keepLines/>
              <w:jc w:val="right"/>
              <w:rPr>
                <w:rFonts w:ascii="Arial" w:hAnsi="Arial" w:cs="Arial"/>
                <w:sz w:val="20"/>
                <w:szCs w:val="20"/>
              </w:rPr>
            </w:pPr>
          </w:p>
        </w:tc>
      </w:tr>
      <w:tr w:rsidR="005813FA" w14:paraId="02E95C40" w14:textId="77777777" w:rsidTr="001D2BA7">
        <w:trPr>
          <w:jc w:val="center"/>
        </w:trPr>
        <w:tc>
          <w:tcPr>
            <w:tcW w:w="0" w:type="auto"/>
            <w:shd w:val="clear" w:color="auto" w:fill="auto"/>
          </w:tcPr>
          <w:p w14:paraId="431FF0C6" w14:textId="0799DF2B"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9/10/2014</w:t>
            </w:r>
          </w:p>
        </w:tc>
        <w:tc>
          <w:tcPr>
            <w:tcW w:w="0" w:type="auto"/>
            <w:shd w:val="clear" w:color="auto" w:fill="auto"/>
            <w:vAlign w:val="center"/>
          </w:tcPr>
          <w:p w14:paraId="3B64C5F4" w14:textId="77777777" w:rsidR="005813FA" w:rsidRDefault="005813FA" w:rsidP="009E692D">
            <w:pPr>
              <w:keepNext/>
              <w:keepLines/>
              <w:jc w:val="right"/>
              <w:rPr>
                <w:rFonts w:ascii="Arial" w:hAnsi="Arial" w:cs="Arial"/>
                <w:sz w:val="20"/>
                <w:szCs w:val="20"/>
              </w:rPr>
            </w:pPr>
          </w:p>
        </w:tc>
        <w:tc>
          <w:tcPr>
            <w:tcW w:w="0" w:type="auto"/>
            <w:shd w:val="clear" w:color="auto" w:fill="auto"/>
            <w:vAlign w:val="center"/>
          </w:tcPr>
          <w:p w14:paraId="240AFC4E" w14:textId="4AB6CEC2" w:rsidR="005813FA" w:rsidRPr="00AA745A" w:rsidRDefault="005813FA" w:rsidP="009E692D">
            <w:pPr>
              <w:keepNext/>
              <w:keepLines/>
              <w:jc w:val="right"/>
              <w:rPr>
                <w:rFonts w:ascii="Arial" w:hAnsi="Arial" w:cs="Arial"/>
                <w:sz w:val="20"/>
                <w:szCs w:val="20"/>
              </w:rPr>
            </w:pPr>
          </w:p>
        </w:tc>
      </w:tr>
      <w:tr w:rsidR="005813FA" w14:paraId="2A0F59BC" w14:textId="77777777" w:rsidTr="001D2BA7">
        <w:trPr>
          <w:jc w:val="center"/>
        </w:trPr>
        <w:tc>
          <w:tcPr>
            <w:tcW w:w="0" w:type="auto"/>
            <w:shd w:val="clear" w:color="auto" w:fill="auto"/>
          </w:tcPr>
          <w:p w14:paraId="1374242A" w14:textId="351321BB" w:rsidR="005813FA" w:rsidRPr="009E692D" w:rsidRDefault="005813FA" w:rsidP="009E692D">
            <w:pPr>
              <w:keepNext/>
              <w:keepLines/>
              <w:jc w:val="right"/>
              <w:rPr>
                <w:rFonts w:ascii="Arial" w:hAnsi="Arial" w:cs="Arial"/>
                <w:sz w:val="20"/>
                <w:szCs w:val="20"/>
              </w:rPr>
            </w:pPr>
            <w:r w:rsidRPr="009E692D">
              <w:rPr>
                <w:rFonts w:ascii="Arial" w:hAnsi="Arial" w:cs="Arial"/>
                <w:sz w:val="20"/>
                <w:szCs w:val="20"/>
              </w:rPr>
              <w:t>9/17/2014</w:t>
            </w:r>
          </w:p>
        </w:tc>
        <w:tc>
          <w:tcPr>
            <w:tcW w:w="0" w:type="auto"/>
            <w:shd w:val="clear" w:color="auto" w:fill="auto"/>
            <w:vAlign w:val="center"/>
          </w:tcPr>
          <w:p w14:paraId="699C24A4" w14:textId="4EAD1231" w:rsidR="005813FA" w:rsidRPr="00AA745A" w:rsidRDefault="005813FA" w:rsidP="009E692D">
            <w:pPr>
              <w:keepNext/>
              <w:keepLines/>
              <w:jc w:val="right"/>
              <w:rPr>
                <w:rFonts w:ascii="Arial" w:hAnsi="Arial" w:cs="Arial"/>
                <w:sz w:val="20"/>
                <w:szCs w:val="20"/>
              </w:rPr>
            </w:pPr>
          </w:p>
        </w:tc>
        <w:tc>
          <w:tcPr>
            <w:tcW w:w="0" w:type="auto"/>
            <w:shd w:val="clear" w:color="auto" w:fill="auto"/>
            <w:vAlign w:val="center"/>
          </w:tcPr>
          <w:p w14:paraId="26368910" w14:textId="77777777" w:rsidR="005813FA" w:rsidRPr="00AA745A" w:rsidRDefault="005813FA" w:rsidP="009E692D">
            <w:pPr>
              <w:keepNext/>
              <w:keepLines/>
              <w:jc w:val="right"/>
              <w:rPr>
                <w:rFonts w:ascii="Arial" w:hAnsi="Arial" w:cs="Arial"/>
                <w:sz w:val="20"/>
                <w:szCs w:val="20"/>
              </w:rPr>
            </w:pPr>
          </w:p>
        </w:tc>
      </w:tr>
    </w:tbl>
    <w:p w14:paraId="29F24F60" w14:textId="77777777" w:rsidR="007772B0" w:rsidRDefault="007772B0" w:rsidP="007772B0">
      <w:pPr>
        <w:pStyle w:val="Heading3"/>
      </w:pPr>
      <w:bookmarkStart w:id="339" w:name="_Toc415761862"/>
      <w:r>
        <w:t>A.1.2 Results from Tests of Alternative Weather Specifications</w:t>
      </w:r>
      <w:bookmarkEnd w:id="339"/>
    </w:p>
    <w:p w14:paraId="4FDBD3B1" w14:textId="00D06FD5" w:rsidR="007772B0" w:rsidRDefault="007772B0" w:rsidP="007772B0">
      <w:r>
        <w:t xml:space="preserve">For each utility, we tested </w:t>
      </w:r>
      <w:r w:rsidR="009E692D">
        <w:t>21</w:t>
      </w:r>
      <w:r>
        <w:t xml:space="preserve"> different sets of weather variables. The aggregate load used in conducting these tests was constructed separately for each utility (and separately for SDG&amp;E’s DBP-DA and DBP-DO) and included only customers who submitted a bid on at least one event day.</w:t>
      </w:r>
    </w:p>
    <w:p w14:paraId="3F550185" w14:textId="77777777" w:rsidR="007772B0" w:rsidRDefault="007772B0" w:rsidP="007772B0"/>
    <w:p w14:paraId="3B282B73" w14:textId="3C000A5F" w:rsidR="007772B0" w:rsidRDefault="007772B0" w:rsidP="007772B0">
      <w:r>
        <w:t>The tests are conducted by estimating one model for every utility/program (4), specification (</w:t>
      </w:r>
      <w:r w:rsidR="009E692D">
        <w:t>21</w:t>
      </w:r>
      <w:r>
        <w:t>), and event-like day (</w:t>
      </w:r>
      <w:r w:rsidR="009E692D">
        <w:t>11</w:t>
      </w:r>
      <w:r>
        <w:t xml:space="preserve"> for PG&amp;E, </w:t>
      </w:r>
      <w:r w:rsidR="009E692D">
        <w:t>8</w:t>
      </w:r>
      <w:r>
        <w:t xml:space="preserve"> for SCE, </w:t>
      </w:r>
      <w:r w:rsidR="005813FA">
        <w:t xml:space="preserve">and </w:t>
      </w:r>
      <w:r w:rsidR="00EA05D3">
        <w:t xml:space="preserve">7 </w:t>
      </w:r>
      <w:r w:rsidRPr="005813FA">
        <w:t>for SDG&amp;E DBP-DA</w:t>
      </w:r>
      <w:r w:rsidR="005813FA">
        <w:t xml:space="preserve"> and DBP-DO</w:t>
      </w:r>
      <w:r>
        <w:t>). Each model excludes one event-like day from the estimation model and uses the estimated parameters to predict the usage for that day. The MPE and MAPE are calculated across the event windows of the withheld days.</w:t>
      </w:r>
    </w:p>
    <w:p w14:paraId="0F17B658" w14:textId="77777777" w:rsidR="007772B0" w:rsidRDefault="007772B0" w:rsidP="007772B0"/>
    <w:p w14:paraId="1BBB0019" w14:textId="6A78E921" w:rsidR="007772B0" w:rsidRDefault="007772B0" w:rsidP="007772B0">
      <w:r>
        <w:t>Table A.3 summarizes the adjusted R-squared, mean percentage error (MPE), and mean absolute percentage error (MAPE) the winning specification for each program. The bias is quite low for the PG&amp;E</w:t>
      </w:r>
      <w:r w:rsidR="005813FA">
        <w:t xml:space="preserve"> and </w:t>
      </w:r>
      <w:r>
        <w:t>SCE</w:t>
      </w:r>
      <w:r w:rsidR="005813FA">
        <w:t xml:space="preserve"> model, </w:t>
      </w:r>
      <w:r>
        <w:t xml:space="preserve">but </w:t>
      </w:r>
      <w:r w:rsidR="005813FA">
        <w:t xml:space="preserve">quite </w:t>
      </w:r>
      <w:r>
        <w:t>high for the SDG&amp;E</w:t>
      </w:r>
      <w:r w:rsidR="005813FA">
        <w:t xml:space="preserve"> m</w:t>
      </w:r>
      <w:r>
        <w:t>odel</w:t>
      </w:r>
      <w:r w:rsidR="005813FA">
        <w:t>s</w:t>
      </w:r>
      <w:r>
        <w:t>. The high bias and error rates for the SDG&amp;E</w:t>
      </w:r>
      <w:r w:rsidR="005813FA">
        <w:t xml:space="preserve"> </w:t>
      </w:r>
      <w:r>
        <w:t>model</w:t>
      </w:r>
      <w:r w:rsidR="005813FA">
        <w:t>s</w:t>
      </w:r>
      <w:r>
        <w:t xml:space="preserve"> is likely due to the fact that it contains only one customer that displays somewhat large variations in load across days. Model performance tends to improve as the sample size increases, since customer-specific </w:t>
      </w:r>
      <w:r>
        <w:lastRenderedPageBreak/>
        <w:t>idiosyncrasies get averaged out. This helps explain the superior performance of the PG&amp;E and SCE models, which are much larger programs than either SDG&amp;E program.</w:t>
      </w:r>
    </w:p>
    <w:p w14:paraId="6FFF8669" w14:textId="77777777" w:rsidR="007772B0" w:rsidRDefault="007772B0" w:rsidP="007772B0"/>
    <w:p w14:paraId="38D4675A" w14:textId="77777777" w:rsidR="007772B0" w:rsidRPr="0088530C" w:rsidRDefault="007772B0" w:rsidP="007772B0">
      <w:pPr>
        <w:pStyle w:val="TableCaption"/>
        <w:keepNext/>
        <w:keepLines/>
      </w:pPr>
      <w:bookmarkStart w:id="340" w:name="_Toc415761909"/>
      <w:r w:rsidRPr="0088530C">
        <w:t xml:space="preserve">Table </w:t>
      </w:r>
      <w:r>
        <w:t>A</w:t>
      </w:r>
      <w:r w:rsidRPr="0088530C">
        <w:t>.3: Specification Test Results</w:t>
      </w:r>
      <w:bookmarkEnd w:id="3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0"/>
        <w:gridCol w:w="1476"/>
        <w:gridCol w:w="1476"/>
        <w:gridCol w:w="1563"/>
        <w:gridCol w:w="1389"/>
      </w:tblGrid>
      <w:tr w:rsidR="007772B0" w14:paraId="21D98369" w14:textId="77777777" w:rsidTr="009A32A4">
        <w:trPr>
          <w:jc w:val="center"/>
        </w:trPr>
        <w:tc>
          <w:tcPr>
            <w:tcW w:w="1650" w:type="dxa"/>
            <w:shd w:val="clear" w:color="auto" w:fill="D9E2F3"/>
            <w:vAlign w:val="center"/>
          </w:tcPr>
          <w:p w14:paraId="478DAF40" w14:textId="77777777" w:rsidR="007772B0" w:rsidRDefault="007772B0" w:rsidP="009A32A4">
            <w:pPr>
              <w:keepNext/>
              <w:keepLines/>
              <w:jc w:val="center"/>
              <w:rPr>
                <w:rFonts w:ascii="Arial" w:hAnsi="Arial" w:cs="Arial"/>
                <w:b/>
                <w:sz w:val="20"/>
                <w:szCs w:val="20"/>
              </w:rPr>
            </w:pPr>
          </w:p>
          <w:p w14:paraId="21891600" w14:textId="77777777" w:rsidR="007772B0" w:rsidRDefault="007772B0" w:rsidP="009A32A4">
            <w:pPr>
              <w:keepNext/>
              <w:keepLines/>
              <w:jc w:val="center"/>
              <w:rPr>
                <w:rFonts w:ascii="Arial" w:hAnsi="Arial" w:cs="Arial"/>
                <w:b/>
                <w:sz w:val="20"/>
                <w:szCs w:val="20"/>
              </w:rPr>
            </w:pPr>
            <w:r>
              <w:rPr>
                <w:rFonts w:ascii="Arial" w:hAnsi="Arial" w:cs="Arial"/>
                <w:b/>
                <w:sz w:val="20"/>
                <w:szCs w:val="20"/>
              </w:rPr>
              <w:t>Utility/Program</w:t>
            </w:r>
          </w:p>
          <w:p w14:paraId="231DB91F" w14:textId="77777777" w:rsidR="007772B0" w:rsidRPr="00AA745A" w:rsidRDefault="007772B0" w:rsidP="009A32A4">
            <w:pPr>
              <w:keepNext/>
              <w:keepLines/>
              <w:jc w:val="center"/>
              <w:rPr>
                <w:rFonts w:ascii="Arial" w:hAnsi="Arial" w:cs="Arial"/>
                <w:b/>
                <w:sz w:val="20"/>
                <w:szCs w:val="20"/>
              </w:rPr>
            </w:pPr>
          </w:p>
        </w:tc>
        <w:tc>
          <w:tcPr>
            <w:tcW w:w="1476" w:type="dxa"/>
            <w:shd w:val="clear" w:color="auto" w:fill="D9E2F3"/>
            <w:vAlign w:val="center"/>
          </w:tcPr>
          <w:p w14:paraId="465399CD" w14:textId="77777777" w:rsidR="007772B0" w:rsidRPr="00AA745A" w:rsidRDefault="007772B0" w:rsidP="009A32A4">
            <w:pPr>
              <w:keepNext/>
              <w:keepLines/>
              <w:jc w:val="center"/>
              <w:rPr>
                <w:rFonts w:ascii="Arial" w:hAnsi="Arial" w:cs="Arial"/>
                <w:b/>
                <w:sz w:val="20"/>
                <w:szCs w:val="20"/>
              </w:rPr>
            </w:pPr>
            <w:r>
              <w:rPr>
                <w:rFonts w:ascii="Arial" w:hAnsi="Arial" w:cs="Arial"/>
                <w:b/>
                <w:sz w:val="20"/>
                <w:szCs w:val="20"/>
              </w:rPr>
              <w:t>Selected Specification Number</w:t>
            </w:r>
          </w:p>
        </w:tc>
        <w:tc>
          <w:tcPr>
            <w:tcW w:w="1476" w:type="dxa"/>
            <w:shd w:val="clear" w:color="auto" w:fill="D9E2F3"/>
            <w:vAlign w:val="center"/>
          </w:tcPr>
          <w:p w14:paraId="10402884" w14:textId="77777777" w:rsidR="007772B0" w:rsidRPr="00AA745A" w:rsidRDefault="007772B0" w:rsidP="009A32A4">
            <w:pPr>
              <w:keepNext/>
              <w:keepLines/>
              <w:jc w:val="center"/>
              <w:rPr>
                <w:rFonts w:ascii="Arial" w:hAnsi="Arial" w:cs="Arial"/>
                <w:b/>
                <w:sz w:val="20"/>
                <w:szCs w:val="20"/>
              </w:rPr>
            </w:pPr>
            <w:r w:rsidRPr="00AA745A">
              <w:rPr>
                <w:rFonts w:ascii="Arial" w:hAnsi="Arial" w:cs="Arial"/>
                <w:b/>
                <w:sz w:val="20"/>
                <w:szCs w:val="20"/>
              </w:rPr>
              <w:t>Adjusted R</w:t>
            </w:r>
            <w:r w:rsidRPr="00AA745A">
              <w:rPr>
                <w:rFonts w:ascii="Arial" w:hAnsi="Arial" w:cs="Arial"/>
                <w:b/>
                <w:sz w:val="20"/>
                <w:szCs w:val="20"/>
                <w:vertAlign w:val="superscript"/>
              </w:rPr>
              <w:t>2</w:t>
            </w:r>
          </w:p>
        </w:tc>
        <w:tc>
          <w:tcPr>
            <w:tcW w:w="1563" w:type="dxa"/>
            <w:shd w:val="clear" w:color="auto" w:fill="D9E2F3"/>
            <w:vAlign w:val="center"/>
          </w:tcPr>
          <w:p w14:paraId="085EF7AB" w14:textId="77777777" w:rsidR="007772B0" w:rsidRPr="00AA745A" w:rsidRDefault="007772B0" w:rsidP="009A32A4">
            <w:pPr>
              <w:keepNext/>
              <w:keepLines/>
              <w:jc w:val="center"/>
              <w:rPr>
                <w:rFonts w:ascii="Arial" w:hAnsi="Arial" w:cs="Arial"/>
                <w:b/>
                <w:sz w:val="20"/>
                <w:szCs w:val="20"/>
              </w:rPr>
            </w:pPr>
            <w:r w:rsidRPr="00AA745A">
              <w:rPr>
                <w:rFonts w:ascii="Arial" w:hAnsi="Arial" w:cs="Arial"/>
                <w:b/>
                <w:sz w:val="20"/>
                <w:szCs w:val="20"/>
              </w:rPr>
              <w:t>MPE</w:t>
            </w:r>
          </w:p>
        </w:tc>
        <w:tc>
          <w:tcPr>
            <w:tcW w:w="1389" w:type="dxa"/>
            <w:shd w:val="clear" w:color="auto" w:fill="D9E2F3"/>
            <w:vAlign w:val="center"/>
          </w:tcPr>
          <w:p w14:paraId="3E5018F0" w14:textId="77777777" w:rsidR="007772B0" w:rsidRPr="00AA745A" w:rsidRDefault="007772B0" w:rsidP="009A32A4">
            <w:pPr>
              <w:keepNext/>
              <w:keepLines/>
              <w:jc w:val="center"/>
              <w:rPr>
                <w:rFonts w:ascii="Arial" w:hAnsi="Arial" w:cs="Arial"/>
                <w:b/>
                <w:sz w:val="20"/>
                <w:szCs w:val="20"/>
              </w:rPr>
            </w:pPr>
            <w:r w:rsidRPr="00AA745A">
              <w:rPr>
                <w:rFonts w:ascii="Arial" w:hAnsi="Arial" w:cs="Arial"/>
                <w:b/>
                <w:sz w:val="20"/>
                <w:szCs w:val="20"/>
              </w:rPr>
              <w:t>MAPE</w:t>
            </w:r>
          </w:p>
        </w:tc>
      </w:tr>
      <w:tr w:rsidR="007772B0" w14:paraId="6EF5CE58" w14:textId="77777777" w:rsidTr="009A32A4">
        <w:trPr>
          <w:jc w:val="center"/>
        </w:trPr>
        <w:tc>
          <w:tcPr>
            <w:tcW w:w="1650" w:type="dxa"/>
            <w:shd w:val="clear" w:color="auto" w:fill="auto"/>
            <w:vAlign w:val="center"/>
          </w:tcPr>
          <w:p w14:paraId="30930CEA" w14:textId="77777777" w:rsidR="007772B0" w:rsidRPr="00AA745A" w:rsidRDefault="007772B0" w:rsidP="009A32A4">
            <w:pPr>
              <w:keepNext/>
              <w:keepLines/>
              <w:jc w:val="center"/>
              <w:rPr>
                <w:rFonts w:ascii="Arial" w:hAnsi="Arial" w:cs="Arial"/>
                <w:sz w:val="20"/>
                <w:szCs w:val="20"/>
              </w:rPr>
            </w:pPr>
            <w:r>
              <w:rPr>
                <w:rFonts w:ascii="Arial" w:hAnsi="Arial" w:cs="Arial"/>
                <w:sz w:val="20"/>
                <w:szCs w:val="20"/>
              </w:rPr>
              <w:t>PG&amp;E</w:t>
            </w:r>
          </w:p>
        </w:tc>
        <w:tc>
          <w:tcPr>
            <w:tcW w:w="1476" w:type="dxa"/>
            <w:vAlign w:val="center"/>
          </w:tcPr>
          <w:p w14:paraId="14634893" w14:textId="6031D0A7" w:rsidR="007772B0" w:rsidRPr="00AA745A" w:rsidRDefault="009E692D" w:rsidP="009E692D">
            <w:pPr>
              <w:keepNext/>
              <w:keepLines/>
              <w:jc w:val="center"/>
              <w:rPr>
                <w:rFonts w:ascii="Arial" w:hAnsi="Arial" w:cs="Arial"/>
                <w:sz w:val="20"/>
                <w:szCs w:val="20"/>
              </w:rPr>
            </w:pPr>
            <w:r>
              <w:rPr>
                <w:rFonts w:ascii="Arial" w:hAnsi="Arial" w:cs="Arial"/>
                <w:sz w:val="20"/>
                <w:szCs w:val="20"/>
              </w:rPr>
              <w:t>10</w:t>
            </w:r>
          </w:p>
        </w:tc>
        <w:tc>
          <w:tcPr>
            <w:tcW w:w="1476" w:type="dxa"/>
            <w:shd w:val="clear" w:color="auto" w:fill="auto"/>
            <w:vAlign w:val="center"/>
          </w:tcPr>
          <w:p w14:paraId="3FE3E188" w14:textId="2634BCF6" w:rsidR="007772B0" w:rsidRPr="00AA745A" w:rsidRDefault="007772B0" w:rsidP="009E692D">
            <w:pPr>
              <w:keepNext/>
              <w:keepLines/>
              <w:jc w:val="center"/>
              <w:rPr>
                <w:rFonts w:ascii="Arial" w:hAnsi="Arial" w:cs="Arial"/>
                <w:sz w:val="20"/>
                <w:szCs w:val="20"/>
              </w:rPr>
            </w:pPr>
            <w:r>
              <w:rPr>
                <w:rFonts w:ascii="Arial" w:hAnsi="Arial" w:cs="Arial"/>
                <w:sz w:val="20"/>
                <w:szCs w:val="20"/>
              </w:rPr>
              <w:t>0.</w:t>
            </w:r>
            <w:r w:rsidR="009E692D">
              <w:rPr>
                <w:rFonts w:ascii="Arial" w:hAnsi="Arial" w:cs="Arial"/>
                <w:sz w:val="20"/>
                <w:szCs w:val="20"/>
              </w:rPr>
              <w:t>85</w:t>
            </w:r>
          </w:p>
        </w:tc>
        <w:tc>
          <w:tcPr>
            <w:tcW w:w="1563" w:type="dxa"/>
            <w:shd w:val="clear" w:color="auto" w:fill="auto"/>
            <w:vAlign w:val="center"/>
          </w:tcPr>
          <w:p w14:paraId="244FE5BD" w14:textId="28CF9DAF" w:rsidR="007772B0" w:rsidRPr="00AA745A" w:rsidRDefault="007772B0" w:rsidP="009E692D">
            <w:pPr>
              <w:keepNext/>
              <w:keepLines/>
              <w:jc w:val="center"/>
              <w:rPr>
                <w:rFonts w:ascii="Arial" w:hAnsi="Arial" w:cs="Arial"/>
                <w:sz w:val="20"/>
                <w:szCs w:val="20"/>
              </w:rPr>
            </w:pPr>
            <w:r>
              <w:rPr>
                <w:rFonts w:ascii="Arial" w:hAnsi="Arial" w:cs="Arial"/>
                <w:sz w:val="20"/>
                <w:szCs w:val="20"/>
              </w:rPr>
              <w:t>1.</w:t>
            </w:r>
            <w:r w:rsidR="009E692D">
              <w:rPr>
                <w:rFonts w:ascii="Arial" w:hAnsi="Arial" w:cs="Arial"/>
                <w:sz w:val="20"/>
                <w:szCs w:val="20"/>
              </w:rPr>
              <w:t>2</w:t>
            </w:r>
            <w:r>
              <w:rPr>
                <w:rFonts w:ascii="Arial" w:hAnsi="Arial" w:cs="Arial"/>
                <w:sz w:val="20"/>
                <w:szCs w:val="20"/>
              </w:rPr>
              <w:t>%</w:t>
            </w:r>
          </w:p>
        </w:tc>
        <w:tc>
          <w:tcPr>
            <w:tcW w:w="1389" w:type="dxa"/>
            <w:shd w:val="clear" w:color="auto" w:fill="auto"/>
            <w:vAlign w:val="center"/>
          </w:tcPr>
          <w:p w14:paraId="282D5A81" w14:textId="3DB7C149" w:rsidR="007772B0" w:rsidRPr="00AA745A" w:rsidRDefault="009E692D" w:rsidP="009E692D">
            <w:pPr>
              <w:keepNext/>
              <w:keepLines/>
              <w:jc w:val="center"/>
              <w:rPr>
                <w:rFonts w:ascii="Arial" w:hAnsi="Arial" w:cs="Arial"/>
                <w:sz w:val="20"/>
                <w:szCs w:val="20"/>
              </w:rPr>
            </w:pPr>
            <w:r>
              <w:rPr>
                <w:rFonts w:ascii="Arial" w:hAnsi="Arial" w:cs="Arial"/>
                <w:sz w:val="20"/>
                <w:szCs w:val="20"/>
              </w:rPr>
              <w:t>3</w:t>
            </w:r>
            <w:r w:rsidR="007772B0">
              <w:rPr>
                <w:rFonts w:ascii="Arial" w:hAnsi="Arial" w:cs="Arial"/>
                <w:sz w:val="20"/>
                <w:szCs w:val="20"/>
              </w:rPr>
              <w:t>.</w:t>
            </w:r>
            <w:r>
              <w:rPr>
                <w:rFonts w:ascii="Arial" w:hAnsi="Arial" w:cs="Arial"/>
                <w:sz w:val="20"/>
                <w:szCs w:val="20"/>
              </w:rPr>
              <w:t>1</w:t>
            </w:r>
            <w:r w:rsidR="007772B0">
              <w:rPr>
                <w:rFonts w:ascii="Arial" w:hAnsi="Arial" w:cs="Arial"/>
                <w:sz w:val="20"/>
                <w:szCs w:val="20"/>
              </w:rPr>
              <w:t>%</w:t>
            </w:r>
          </w:p>
        </w:tc>
      </w:tr>
      <w:tr w:rsidR="007772B0" w14:paraId="31B12B5A" w14:textId="77777777" w:rsidTr="009A32A4">
        <w:trPr>
          <w:jc w:val="center"/>
        </w:trPr>
        <w:tc>
          <w:tcPr>
            <w:tcW w:w="1650" w:type="dxa"/>
            <w:shd w:val="clear" w:color="auto" w:fill="auto"/>
            <w:vAlign w:val="center"/>
          </w:tcPr>
          <w:p w14:paraId="66F9EABF" w14:textId="77777777" w:rsidR="007772B0" w:rsidRPr="00AA745A" w:rsidRDefault="007772B0" w:rsidP="009A32A4">
            <w:pPr>
              <w:keepNext/>
              <w:keepLines/>
              <w:jc w:val="center"/>
              <w:rPr>
                <w:rFonts w:ascii="Arial" w:hAnsi="Arial" w:cs="Arial"/>
                <w:sz w:val="20"/>
                <w:szCs w:val="20"/>
              </w:rPr>
            </w:pPr>
            <w:r w:rsidRPr="00264A3C">
              <w:rPr>
                <w:rFonts w:ascii="Arial" w:hAnsi="Arial" w:cs="Arial"/>
                <w:sz w:val="20"/>
                <w:szCs w:val="20"/>
              </w:rPr>
              <w:t>SCE</w:t>
            </w:r>
          </w:p>
        </w:tc>
        <w:tc>
          <w:tcPr>
            <w:tcW w:w="1476" w:type="dxa"/>
            <w:vAlign w:val="center"/>
          </w:tcPr>
          <w:p w14:paraId="1CAF8711" w14:textId="77777777" w:rsidR="007772B0" w:rsidRPr="00AA745A" w:rsidRDefault="007772B0" w:rsidP="009A32A4">
            <w:pPr>
              <w:keepNext/>
              <w:keepLines/>
              <w:jc w:val="center"/>
              <w:rPr>
                <w:rFonts w:ascii="Arial" w:hAnsi="Arial" w:cs="Arial"/>
                <w:sz w:val="20"/>
                <w:szCs w:val="20"/>
              </w:rPr>
            </w:pPr>
            <w:r>
              <w:rPr>
                <w:rFonts w:ascii="Arial" w:hAnsi="Arial" w:cs="Arial"/>
                <w:sz w:val="20"/>
                <w:szCs w:val="20"/>
              </w:rPr>
              <w:t>10</w:t>
            </w:r>
          </w:p>
        </w:tc>
        <w:tc>
          <w:tcPr>
            <w:tcW w:w="1476" w:type="dxa"/>
            <w:shd w:val="clear" w:color="auto" w:fill="auto"/>
            <w:vAlign w:val="center"/>
          </w:tcPr>
          <w:p w14:paraId="14DD5D50" w14:textId="1150128E" w:rsidR="007772B0" w:rsidRPr="00AA745A" w:rsidRDefault="007772B0" w:rsidP="009A32A4">
            <w:pPr>
              <w:keepNext/>
              <w:keepLines/>
              <w:jc w:val="center"/>
              <w:rPr>
                <w:rFonts w:ascii="Arial" w:hAnsi="Arial" w:cs="Arial"/>
                <w:sz w:val="20"/>
                <w:szCs w:val="20"/>
              </w:rPr>
            </w:pPr>
            <w:r>
              <w:rPr>
                <w:rFonts w:ascii="Arial" w:hAnsi="Arial" w:cs="Arial"/>
                <w:sz w:val="20"/>
                <w:szCs w:val="20"/>
              </w:rPr>
              <w:t>0.9</w:t>
            </w:r>
            <w:r w:rsidR="009E692D">
              <w:rPr>
                <w:rFonts w:ascii="Arial" w:hAnsi="Arial" w:cs="Arial"/>
                <w:sz w:val="20"/>
                <w:szCs w:val="20"/>
              </w:rPr>
              <w:t>0</w:t>
            </w:r>
          </w:p>
        </w:tc>
        <w:tc>
          <w:tcPr>
            <w:tcW w:w="1563" w:type="dxa"/>
            <w:shd w:val="clear" w:color="auto" w:fill="auto"/>
            <w:vAlign w:val="center"/>
          </w:tcPr>
          <w:p w14:paraId="0B517A24" w14:textId="4A5E1CF2" w:rsidR="007772B0" w:rsidRPr="00AA745A" w:rsidRDefault="007772B0" w:rsidP="009E692D">
            <w:pPr>
              <w:keepNext/>
              <w:keepLines/>
              <w:jc w:val="center"/>
              <w:rPr>
                <w:rFonts w:ascii="Arial" w:hAnsi="Arial" w:cs="Arial"/>
                <w:sz w:val="20"/>
                <w:szCs w:val="20"/>
              </w:rPr>
            </w:pPr>
            <w:r>
              <w:rPr>
                <w:rFonts w:ascii="Arial" w:hAnsi="Arial" w:cs="Arial"/>
                <w:sz w:val="20"/>
                <w:szCs w:val="20"/>
              </w:rPr>
              <w:t>0.</w:t>
            </w:r>
            <w:r w:rsidR="009E692D">
              <w:rPr>
                <w:rFonts w:ascii="Arial" w:hAnsi="Arial" w:cs="Arial"/>
                <w:sz w:val="20"/>
                <w:szCs w:val="20"/>
              </w:rPr>
              <w:t>3</w:t>
            </w:r>
            <w:r>
              <w:rPr>
                <w:rFonts w:ascii="Arial" w:hAnsi="Arial" w:cs="Arial"/>
                <w:sz w:val="20"/>
                <w:szCs w:val="20"/>
              </w:rPr>
              <w:t>%</w:t>
            </w:r>
          </w:p>
        </w:tc>
        <w:tc>
          <w:tcPr>
            <w:tcW w:w="1389" w:type="dxa"/>
            <w:shd w:val="clear" w:color="auto" w:fill="auto"/>
            <w:vAlign w:val="center"/>
          </w:tcPr>
          <w:p w14:paraId="4FC773C5" w14:textId="64CDE42F" w:rsidR="007772B0" w:rsidRPr="00AA745A" w:rsidRDefault="009E692D" w:rsidP="009E692D">
            <w:pPr>
              <w:keepNext/>
              <w:keepLines/>
              <w:jc w:val="center"/>
              <w:rPr>
                <w:rFonts w:ascii="Arial" w:hAnsi="Arial" w:cs="Arial"/>
                <w:sz w:val="20"/>
                <w:szCs w:val="20"/>
              </w:rPr>
            </w:pPr>
            <w:r>
              <w:rPr>
                <w:rFonts w:ascii="Arial" w:hAnsi="Arial" w:cs="Arial"/>
                <w:sz w:val="20"/>
                <w:szCs w:val="20"/>
              </w:rPr>
              <w:t>2</w:t>
            </w:r>
            <w:r w:rsidR="007772B0">
              <w:rPr>
                <w:rFonts w:ascii="Arial" w:hAnsi="Arial" w:cs="Arial"/>
                <w:sz w:val="20"/>
                <w:szCs w:val="20"/>
              </w:rPr>
              <w:t>.</w:t>
            </w:r>
            <w:r>
              <w:rPr>
                <w:rFonts w:ascii="Arial" w:hAnsi="Arial" w:cs="Arial"/>
                <w:sz w:val="20"/>
                <w:szCs w:val="20"/>
              </w:rPr>
              <w:t>1</w:t>
            </w:r>
            <w:r w:rsidR="007772B0">
              <w:rPr>
                <w:rFonts w:ascii="Arial" w:hAnsi="Arial" w:cs="Arial"/>
                <w:sz w:val="20"/>
                <w:szCs w:val="20"/>
              </w:rPr>
              <w:t>%</w:t>
            </w:r>
          </w:p>
        </w:tc>
      </w:tr>
      <w:tr w:rsidR="007772B0" w14:paraId="080222E1" w14:textId="77777777" w:rsidTr="009A32A4">
        <w:trPr>
          <w:jc w:val="center"/>
        </w:trPr>
        <w:tc>
          <w:tcPr>
            <w:tcW w:w="1650" w:type="dxa"/>
            <w:shd w:val="clear" w:color="auto" w:fill="auto"/>
            <w:vAlign w:val="center"/>
          </w:tcPr>
          <w:p w14:paraId="74D8ECEA" w14:textId="77777777" w:rsidR="007772B0" w:rsidRPr="005813FA" w:rsidRDefault="007772B0" w:rsidP="009A32A4">
            <w:pPr>
              <w:keepNext/>
              <w:keepLines/>
              <w:jc w:val="center"/>
              <w:rPr>
                <w:rFonts w:ascii="Arial" w:hAnsi="Arial" w:cs="Arial"/>
                <w:sz w:val="20"/>
                <w:szCs w:val="20"/>
              </w:rPr>
            </w:pPr>
            <w:r w:rsidRPr="005813FA">
              <w:rPr>
                <w:rFonts w:ascii="Arial" w:hAnsi="Arial" w:cs="Arial"/>
                <w:sz w:val="20"/>
                <w:szCs w:val="20"/>
              </w:rPr>
              <w:t>SDG&amp;E DA</w:t>
            </w:r>
          </w:p>
        </w:tc>
        <w:tc>
          <w:tcPr>
            <w:tcW w:w="1476" w:type="dxa"/>
            <w:vAlign w:val="center"/>
          </w:tcPr>
          <w:p w14:paraId="4105C950" w14:textId="77777777" w:rsidR="007772B0" w:rsidRPr="005813FA" w:rsidRDefault="007772B0" w:rsidP="009A32A4">
            <w:pPr>
              <w:keepNext/>
              <w:keepLines/>
              <w:jc w:val="center"/>
              <w:rPr>
                <w:rFonts w:ascii="Arial" w:hAnsi="Arial" w:cs="Arial"/>
                <w:sz w:val="20"/>
                <w:szCs w:val="20"/>
              </w:rPr>
            </w:pPr>
            <w:r w:rsidRPr="005813FA">
              <w:rPr>
                <w:rFonts w:ascii="Arial" w:hAnsi="Arial" w:cs="Arial"/>
                <w:sz w:val="20"/>
                <w:szCs w:val="20"/>
              </w:rPr>
              <w:t>10</w:t>
            </w:r>
          </w:p>
        </w:tc>
        <w:tc>
          <w:tcPr>
            <w:tcW w:w="1476" w:type="dxa"/>
            <w:shd w:val="clear" w:color="auto" w:fill="auto"/>
            <w:vAlign w:val="center"/>
          </w:tcPr>
          <w:p w14:paraId="1608E917" w14:textId="13150111" w:rsidR="007772B0" w:rsidRPr="005813FA" w:rsidRDefault="00CC035A" w:rsidP="009A32A4">
            <w:pPr>
              <w:keepNext/>
              <w:keepLines/>
              <w:jc w:val="center"/>
              <w:rPr>
                <w:rFonts w:ascii="Arial" w:hAnsi="Arial" w:cs="Arial"/>
                <w:sz w:val="20"/>
                <w:szCs w:val="20"/>
              </w:rPr>
            </w:pPr>
            <w:r>
              <w:rPr>
                <w:rFonts w:ascii="Arial" w:hAnsi="Arial" w:cs="Arial"/>
                <w:sz w:val="20"/>
                <w:szCs w:val="20"/>
              </w:rPr>
              <w:t>0.3</w:t>
            </w:r>
            <w:r w:rsidR="00EA05D3">
              <w:rPr>
                <w:rFonts w:ascii="Arial" w:hAnsi="Arial" w:cs="Arial"/>
                <w:sz w:val="20"/>
                <w:szCs w:val="20"/>
              </w:rPr>
              <w:t>7</w:t>
            </w:r>
          </w:p>
        </w:tc>
        <w:tc>
          <w:tcPr>
            <w:tcW w:w="1563" w:type="dxa"/>
            <w:shd w:val="clear" w:color="auto" w:fill="auto"/>
            <w:vAlign w:val="center"/>
          </w:tcPr>
          <w:p w14:paraId="6EE2E7D3" w14:textId="4A0AA482" w:rsidR="007772B0" w:rsidRPr="005813FA" w:rsidRDefault="00CC035A" w:rsidP="00EA05D3">
            <w:pPr>
              <w:keepNext/>
              <w:keepLines/>
              <w:jc w:val="center"/>
              <w:rPr>
                <w:rFonts w:ascii="Arial" w:hAnsi="Arial" w:cs="Arial"/>
                <w:sz w:val="20"/>
                <w:szCs w:val="20"/>
              </w:rPr>
            </w:pPr>
            <w:r>
              <w:rPr>
                <w:rFonts w:ascii="Arial" w:hAnsi="Arial" w:cs="Arial"/>
                <w:sz w:val="20"/>
                <w:szCs w:val="20"/>
              </w:rPr>
              <w:t>-</w:t>
            </w:r>
            <w:r w:rsidR="00EA05D3">
              <w:rPr>
                <w:rFonts w:ascii="Arial" w:hAnsi="Arial" w:cs="Arial"/>
                <w:sz w:val="20"/>
                <w:szCs w:val="20"/>
              </w:rPr>
              <w:t>3</w:t>
            </w:r>
            <w:r>
              <w:rPr>
                <w:rFonts w:ascii="Arial" w:hAnsi="Arial" w:cs="Arial"/>
                <w:sz w:val="20"/>
                <w:szCs w:val="20"/>
              </w:rPr>
              <w:t>.</w:t>
            </w:r>
            <w:r w:rsidR="00EA05D3">
              <w:rPr>
                <w:rFonts w:ascii="Arial" w:hAnsi="Arial" w:cs="Arial"/>
                <w:sz w:val="20"/>
                <w:szCs w:val="20"/>
              </w:rPr>
              <w:t>7</w:t>
            </w:r>
            <w:r w:rsidR="007772B0" w:rsidRPr="005813FA">
              <w:rPr>
                <w:rFonts w:ascii="Arial" w:hAnsi="Arial" w:cs="Arial"/>
                <w:sz w:val="20"/>
                <w:szCs w:val="20"/>
              </w:rPr>
              <w:t>%</w:t>
            </w:r>
          </w:p>
        </w:tc>
        <w:tc>
          <w:tcPr>
            <w:tcW w:w="1389" w:type="dxa"/>
            <w:shd w:val="clear" w:color="auto" w:fill="auto"/>
            <w:vAlign w:val="center"/>
          </w:tcPr>
          <w:p w14:paraId="11E48D01" w14:textId="19FDD852" w:rsidR="007772B0" w:rsidRPr="005813FA" w:rsidRDefault="00CC035A" w:rsidP="00EA05D3">
            <w:pPr>
              <w:keepNext/>
              <w:keepLines/>
              <w:jc w:val="center"/>
              <w:rPr>
                <w:rFonts w:ascii="Arial" w:hAnsi="Arial" w:cs="Arial"/>
                <w:sz w:val="20"/>
                <w:szCs w:val="20"/>
              </w:rPr>
            </w:pPr>
            <w:r>
              <w:rPr>
                <w:rFonts w:ascii="Arial" w:hAnsi="Arial" w:cs="Arial"/>
                <w:sz w:val="20"/>
                <w:szCs w:val="20"/>
              </w:rPr>
              <w:t>16.</w:t>
            </w:r>
            <w:r w:rsidR="00EA05D3">
              <w:rPr>
                <w:rFonts w:ascii="Arial" w:hAnsi="Arial" w:cs="Arial"/>
                <w:sz w:val="20"/>
                <w:szCs w:val="20"/>
              </w:rPr>
              <w:t>9</w:t>
            </w:r>
            <w:r w:rsidR="007772B0" w:rsidRPr="005813FA">
              <w:rPr>
                <w:rFonts w:ascii="Arial" w:hAnsi="Arial" w:cs="Arial"/>
                <w:sz w:val="20"/>
                <w:szCs w:val="20"/>
              </w:rPr>
              <w:t>%</w:t>
            </w:r>
          </w:p>
        </w:tc>
      </w:tr>
      <w:tr w:rsidR="007772B0" w14:paraId="2464103E" w14:textId="77777777" w:rsidTr="009A32A4">
        <w:trPr>
          <w:jc w:val="center"/>
        </w:trPr>
        <w:tc>
          <w:tcPr>
            <w:tcW w:w="1650" w:type="dxa"/>
            <w:shd w:val="clear" w:color="auto" w:fill="auto"/>
            <w:vAlign w:val="center"/>
          </w:tcPr>
          <w:p w14:paraId="5500B81A" w14:textId="77777777" w:rsidR="007772B0" w:rsidRPr="005813FA" w:rsidRDefault="007772B0" w:rsidP="009A32A4">
            <w:pPr>
              <w:keepNext/>
              <w:keepLines/>
              <w:jc w:val="center"/>
              <w:rPr>
                <w:rFonts w:ascii="Arial" w:hAnsi="Arial" w:cs="Arial"/>
                <w:sz w:val="20"/>
                <w:szCs w:val="20"/>
              </w:rPr>
            </w:pPr>
            <w:r w:rsidRPr="005813FA">
              <w:rPr>
                <w:rFonts w:ascii="Arial" w:hAnsi="Arial" w:cs="Arial"/>
                <w:sz w:val="20"/>
                <w:szCs w:val="20"/>
              </w:rPr>
              <w:t>SDG&amp;E DO</w:t>
            </w:r>
          </w:p>
        </w:tc>
        <w:tc>
          <w:tcPr>
            <w:tcW w:w="1476" w:type="dxa"/>
            <w:vAlign w:val="center"/>
          </w:tcPr>
          <w:p w14:paraId="17A3974A" w14:textId="77777777" w:rsidR="007772B0" w:rsidRPr="005813FA" w:rsidRDefault="007772B0" w:rsidP="009A32A4">
            <w:pPr>
              <w:keepNext/>
              <w:keepLines/>
              <w:jc w:val="center"/>
              <w:rPr>
                <w:rFonts w:ascii="Arial" w:hAnsi="Arial" w:cs="Arial"/>
                <w:sz w:val="20"/>
                <w:szCs w:val="20"/>
              </w:rPr>
            </w:pPr>
            <w:r w:rsidRPr="005813FA">
              <w:rPr>
                <w:rFonts w:ascii="Arial" w:hAnsi="Arial" w:cs="Arial"/>
                <w:sz w:val="20"/>
                <w:szCs w:val="20"/>
              </w:rPr>
              <w:t>10</w:t>
            </w:r>
          </w:p>
        </w:tc>
        <w:tc>
          <w:tcPr>
            <w:tcW w:w="1476" w:type="dxa"/>
            <w:shd w:val="clear" w:color="auto" w:fill="auto"/>
            <w:vAlign w:val="center"/>
          </w:tcPr>
          <w:p w14:paraId="79EF9D30" w14:textId="18CE5ECD" w:rsidR="007772B0" w:rsidRPr="005813FA" w:rsidRDefault="005813FA" w:rsidP="009A32A4">
            <w:pPr>
              <w:keepNext/>
              <w:keepLines/>
              <w:jc w:val="center"/>
              <w:rPr>
                <w:rFonts w:ascii="Arial" w:hAnsi="Arial" w:cs="Arial"/>
                <w:sz w:val="20"/>
                <w:szCs w:val="20"/>
              </w:rPr>
            </w:pPr>
            <w:r>
              <w:rPr>
                <w:rFonts w:ascii="Arial" w:hAnsi="Arial" w:cs="Arial"/>
                <w:sz w:val="20"/>
                <w:szCs w:val="20"/>
              </w:rPr>
              <w:t>0</w:t>
            </w:r>
            <w:r w:rsidR="00CC035A">
              <w:rPr>
                <w:rFonts w:ascii="Arial" w:hAnsi="Arial" w:cs="Arial"/>
                <w:sz w:val="20"/>
                <w:szCs w:val="20"/>
              </w:rPr>
              <w:t>.70</w:t>
            </w:r>
          </w:p>
        </w:tc>
        <w:tc>
          <w:tcPr>
            <w:tcW w:w="1563" w:type="dxa"/>
            <w:shd w:val="clear" w:color="auto" w:fill="auto"/>
            <w:vAlign w:val="center"/>
          </w:tcPr>
          <w:p w14:paraId="786E3A30" w14:textId="1F678D8D" w:rsidR="007772B0" w:rsidRPr="005813FA" w:rsidRDefault="00CC035A" w:rsidP="00EA05D3">
            <w:pPr>
              <w:keepNext/>
              <w:keepLines/>
              <w:jc w:val="center"/>
              <w:rPr>
                <w:rFonts w:ascii="Arial" w:hAnsi="Arial" w:cs="Arial"/>
                <w:sz w:val="20"/>
                <w:szCs w:val="20"/>
              </w:rPr>
            </w:pPr>
            <w:r>
              <w:rPr>
                <w:rFonts w:ascii="Arial" w:hAnsi="Arial" w:cs="Arial"/>
                <w:sz w:val="20"/>
                <w:szCs w:val="20"/>
              </w:rPr>
              <w:t>2</w:t>
            </w:r>
            <w:r w:rsidR="00EA05D3">
              <w:rPr>
                <w:rFonts w:ascii="Arial" w:hAnsi="Arial" w:cs="Arial"/>
                <w:sz w:val="20"/>
                <w:szCs w:val="20"/>
              </w:rPr>
              <w:t>4.7%</w:t>
            </w:r>
          </w:p>
        </w:tc>
        <w:tc>
          <w:tcPr>
            <w:tcW w:w="1389" w:type="dxa"/>
            <w:shd w:val="clear" w:color="auto" w:fill="auto"/>
            <w:vAlign w:val="center"/>
          </w:tcPr>
          <w:p w14:paraId="37BB381A" w14:textId="4BD53611" w:rsidR="007772B0" w:rsidRPr="005813FA" w:rsidRDefault="00CC035A" w:rsidP="00EA05D3">
            <w:pPr>
              <w:keepNext/>
              <w:keepLines/>
              <w:jc w:val="center"/>
              <w:rPr>
                <w:rFonts w:ascii="Arial" w:hAnsi="Arial" w:cs="Arial"/>
                <w:sz w:val="20"/>
                <w:szCs w:val="20"/>
              </w:rPr>
            </w:pPr>
            <w:r>
              <w:rPr>
                <w:rFonts w:ascii="Arial" w:hAnsi="Arial" w:cs="Arial"/>
                <w:sz w:val="20"/>
                <w:szCs w:val="20"/>
              </w:rPr>
              <w:t>2</w:t>
            </w:r>
            <w:r w:rsidR="00EA05D3">
              <w:rPr>
                <w:rFonts w:ascii="Arial" w:hAnsi="Arial" w:cs="Arial"/>
                <w:sz w:val="20"/>
                <w:szCs w:val="20"/>
              </w:rPr>
              <w:t>6</w:t>
            </w:r>
            <w:r>
              <w:rPr>
                <w:rFonts w:ascii="Arial" w:hAnsi="Arial" w:cs="Arial"/>
                <w:sz w:val="20"/>
                <w:szCs w:val="20"/>
              </w:rPr>
              <w:t>.</w:t>
            </w:r>
            <w:r w:rsidR="00EA05D3">
              <w:rPr>
                <w:rFonts w:ascii="Arial" w:hAnsi="Arial" w:cs="Arial"/>
                <w:sz w:val="20"/>
                <w:szCs w:val="20"/>
              </w:rPr>
              <w:t>4</w:t>
            </w:r>
            <w:r w:rsidR="007772B0" w:rsidRPr="005813FA">
              <w:rPr>
                <w:rFonts w:ascii="Arial" w:hAnsi="Arial" w:cs="Arial"/>
                <w:sz w:val="20"/>
                <w:szCs w:val="20"/>
              </w:rPr>
              <w:t>%</w:t>
            </w:r>
          </w:p>
        </w:tc>
      </w:tr>
    </w:tbl>
    <w:p w14:paraId="2DCFE959" w14:textId="77777777" w:rsidR="007772B0" w:rsidRDefault="007772B0" w:rsidP="007772B0"/>
    <w:p w14:paraId="1C37D878" w14:textId="0573BCCD" w:rsidR="007772B0" w:rsidRDefault="007772B0" w:rsidP="007772B0">
      <w:r>
        <w:t xml:space="preserve">For each specification, we estimated a single model that included all of the days (i.e., not withholding any event-like days), but using a single set of actual event variables (i.e., a 24-hour profile of the average event-day load impacts). Figures A.1 through A.4 show the estimated hourly load impacts for each of the </w:t>
      </w:r>
      <w:r w:rsidR="009E692D">
        <w:t>21</w:t>
      </w:r>
      <w:r>
        <w:t xml:space="preserve"> models by </w:t>
      </w:r>
      <w:r w:rsidR="005E22A0">
        <w:t>IOU and program</w:t>
      </w:r>
      <w:r>
        <w:t xml:space="preserve">. The load impacts for the selected specification are highlighted in bold in each of the figures. </w:t>
      </w:r>
      <w:r w:rsidR="005813FA">
        <w:t xml:space="preserve">Even for the SDG&amp;E models (which do not produce very good results in Table A.3), </w:t>
      </w:r>
      <w:r w:rsidRPr="005813FA">
        <w:t>the results of these tests indicated that very little is at stake when selecting from the specifications, as the load impact profile was quite stable across them.</w:t>
      </w:r>
    </w:p>
    <w:p w14:paraId="257844F8" w14:textId="77777777" w:rsidR="007772B0" w:rsidRDefault="007772B0" w:rsidP="007772B0"/>
    <w:p w14:paraId="11FA9B9D" w14:textId="77777777" w:rsidR="007772B0" w:rsidRPr="0088530C" w:rsidRDefault="007772B0" w:rsidP="009E692D">
      <w:pPr>
        <w:pStyle w:val="FigureCaption"/>
        <w:keepNext/>
        <w:keepLines/>
      </w:pPr>
      <w:bookmarkStart w:id="341" w:name="_Toc415761932"/>
      <w:r w:rsidRPr="0088530C">
        <w:t xml:space="preserve">Figure </w:t>
      </w:r>
      <w:r>
        <w:t>A</w:t>
      </w:r>
      <w:r w:rsidRPr="0088530C">
        <w:t xml:space="preserve">.1: Average Event-Hour Load Impacts by Specification, </w:t>
      </w:r>
      <w:r w:rsidRPr="0088530C">
        <w:rPr>
          <w:i/>
        </w:rPr>
        <w:t>PG&amp;E Models</w:t>
      </w:r>
      <w:bookmarkEnd w:id="341"/>
    </w:p>
    <w:p w14:paraId="56308E61" w14:textId="10F7AACC" w:rsidR="007772B0" w:rsidRPr="001047CE" w:rsidRDefault="009E692D" w:rsidP="009E692D">
      <w:pPr>
        <w:keepNext/>
        <w:keepLines/>
      </w:pPr>
      <w:r>
        <w:rPr>
          <w:noProof/>
        </w:rPr>
        <w:drawing>
          <wp:inline distT="0" distB="0" distL="0" distR="0" wp14:anchorId="08601A52" wp14:editId="15A6797C">
            <wp:extent cx="5486400" cy="398145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FD30FDC" w14:textId="77777777" w:rsidR="007772B0" w:rsidRDefault="007772B0" w:rsidP="007772B0">
      <w:pPr>
        <w:pStyle w:val="FigureCaption"/>
      </w:pPr>
    </w:p>
    <w:p w14:paraId="7F141E9E" w14:textId="77777777" w:rsidR="007772B0" w:rsidRPr="0088530C" w:rsidRDefault="007772B0" w:rsidP="007772B0">
      <w:pPr>
        <w:pStyle w:val="FigureCaption"/>
        <w:keepNext/>
        <w:keepLines/>
      </w:pPr>
      <w:bookmarkStart w:id="342" w:name="_Toc415761933"/>
      <w:r w:rsidRPr="0088530C">
        <w:lastRenderedPageBreak/>
        <w:t xml:space="preserve">Figure </w:t>
      </w:r>
      <w:r>
        <w:t>A</w:t>
      </w:r>
      <w:r w:rsidRPr="0088530C">
        <w:t xml:space="preserve">.2: Average Event-Hour Load Impacts by Specification, </w:t>
      </w:r>
      <w:r w:rsidRPr="0088530C">
        <w:rPr>
          <w:i/>
        </w:rPr>
        <w:t>SCE Models</w:t>
      </w:r>
      <w:bookmarkEnd w:id="342"/>
    </w:p>
    <w:p w14:paraId="41E7A057" w14:textId="4C1460AC" w:rsidR="007772B0" w:rsidRPr="001047CE" w:rsidRDefault="00903E1F" w:rsidP="007772B0">
      <w:pPr>
        <w:keepNext/>
        <w:keepLines/>
      </w:pPr>
      <w:r>
        <w:rPr>
          <w:noProof/>
        </w:rPr>
        <w:drawing>
          <wp:inline distT="0" distB="0" distL="0" distR="0" wp14:anchorId="44CD7F93" wp14:editId="714418C7">
            <wp:extent cx="5486400" cy="3981450"/>
            <wp:effectExtent l="0" t="0" r="0" b="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DFEF6B4" w14:textId="77777777" w:rsidR="007772B0" w:rsidRDefault="007772B0" w:rsidP="007772B0">
      <w:pPr>
        <w:pStyle w:val="FigureCaption"/>
      </w:pPr>
    </w:p>
    <w:p w14:paraId="694B5412" w14:textId="77777777" w:rsidR="007772B0" w:rsidRPr="0088530C" w:rsidRDefault="007772B0" w:rsidP="007772B0">
      <w:pPr>
        <w:pStyle w:val="FigureCaption"/>
        <w:keepNext/>
        <w:keepLines/>
      </w:pPr>
      <w:bookmarkStart w:id="343" w:name="_Toc415761934"/>
      <w:r w:rsidRPr="005813FA">
        <w:t xml:space="preserve">Figure A.3: Average Event-Hour Load Impacts by Specification, </w:t>
      </w:r>
      <w:r w:rsidRPr="005813FA">
        <w:rPr>
          <w:i/>
        </w:rPr>
        <w:t>SDG&amp;E DA Models</w:t>
      </w:r>
      <w:bookmarkEnd w:id="343"/>
    </w:p>
    <w:p w14:paraId="09E519F9" w14:textId="4F69AC8B" w:rsidR="007772B0" w:rsidRPr="008B552C" w:rsidRDefault="00D9673D" w:rsidP="007772B0">
      <w:pPr>
        <w:keepNext/>
        <w:keepLines/>
        <w:jc w:val="center"/>
      </w:pPr>
      <w:r w:rsidRPr="005D4700">
        <w:t>These results have been removed due to confidentiality concerns.</w:t>
      </w:r>
    </w:p>
    <w:p w14:paraId="35221A5B" w14:textId="77777777" w:rsidR="007772B0" w:rsidRDefault="007772B0" w:rsidP="007772B0">
      <w:pPr>
        <w:pStyle w:val="FigureCaption"/>
      </w:pPr>
    </w:p>
    <w:p w14:paraId="7859F809" w14:textId="77777777" w:rsidR="007772B0" w:rsidRPr="0088530C" w:rsidRDefault="007772B0" w:rsidP="007772B0">
      <w:pPr>
        <w:pStyle w:val="FigureCaption"/>
        <w:keepNext/>
        <w:keepLines/>
      </w:pPr>
      <w:bookmarkStart w:id="344" w:name="_Toc415761935"/>
      <w:r w:rsidRPr="005813FA">
        <w:t xml:space="preserve">Figure A.4: Average Event-Hour Load Impacts by Specification, </w:t>
      </w:r>
      <w:r w:rsidRPr="005813FA">
        <w:rPr>
          <w:i/>
        </w:rPr>
        <w:t>SDG&amp;E DO Models</w:t>
      </w:r>
      <w:bookmarkEnd w:id="344"/>
    </w:p>
    <w:p w14:paraId="2E8D6F73" w14:textId="2A263F82" w:rsidR="007772B0" w:rsidRDefault="00D9673D" w:rsidP="00D9673D">
      <w:pPr>
        <w:keepNext/>
        <w:keepLines/>
        <w:jc w:val="center"/>
      </w:pPr>
      <w:r w:rsidRPr="005D4700">
        <w:t>These results have been removed due to confidentiality concerns.</w:t>
      </w:r>
    </w:p>
    <w:p w14:paraId="02F96420" w14:textId="77777777" w:rsidR="007772B0" w:rsidRPr="00C24DED" w:rsidRDefault="007772B0" w:rsidP="007772B0"/>
    <w:p w14:paraId="3482CED5" w14:textId="77777777" w:rsidR="007772B0" w:rsidRDefault="007772B0" w:rsidP="007772B0">
      <w:pPr>
        <w:pStyle w:val="Heading3"/>
      </w:pPr>
      <w:bookmarkStart w:id="345" w:name="_Toc415761863"/>
      <w:r>
        <w:t>A.1.3 Synthetic Event Day Tests</w:t>
      </w:r>
      <w:bookmarkEnd w:id="345"/>
    </w:p>
    <w:p w14:paraId="1945857E" w14:textId="77777777" w:rsidR="007772B0" w:rsidRDefault="007772B0" w:rsidP="007772B0">
      <w:r>
        <w:t>For the specification selected from the testing described in Section A.1.2, we conducted an additional test. The selected specification was estimated on the aggregate customer data (averaged across all customers who submitted a bid on at least one event day), including a set of 24 hourly “synthetic” event-day variables. These variables equaled one on the days listed in Table A.2, with a separate estimate for each hour of the day.</w:t>
      </w:r>
    </w:p>
    <w:p w14:paraId="1B1F0187" w14:textId="77777777" w:rsidR="007772B0" w:rsidRDefault="007772B0" w:rsidP="007772B0"/>
    <w:p w14:paraId="0F8A47DA" w14:textId="77777777" w:rsidR="007772B0" w:rsidRDefault="007772B0" w:rsidP="007772B0">
      <w:r>
        <w:t xml:space="preserve">If the model produces synthetic event-day coefficients that are not statistically significantly different from zero, the test provides some added confidence that our actual event-day coefficients are not biased. That is, the absence of statistically </w:t>
      </w:r>
      <w:r>
        <w:lastRenderedPageBreak/>
        <w:t>significant results for the synthetic event days indicates that the remainder of the model is capable of explaining the loads on those days.</w:t>
      </w:r>
    </w:p>
    <w:p w14:paraId="46F32553" w14:textId="77777777" w:rsidR="007772B0" w:rsidRDefault="007772B0" w:rsidP="007772B0"/>
    <w:p w14:paraId="78EBC4A7" w14:textId="0388895A" w:rsidR="007772B0" w:rsidRDefault="007772B0" w:rsidP="007772B0">
      <w:r>
        <w:t>Table A.4 presents the results of this test for each utility, showing only the coefficients during the event window (e.g., hours-ending 13 through 20 for PG&amp;E and SCE</w:t>
      </w:r>
      <w:r w:rsidR="009B226B">
        <w:t>; 1</w:t>
      </w:r>
      <w:r w:rsidR="00AD74C8">
        <w:t>7</w:t>
      </w:r>
      <w:r w:rsidR="009B226B">
        <w:t xml:space="preserve"> to 2</w:t>
      </w:r>
      <w:r w:rsidR="00AD74C8">
        <w:t>0</w:t>
      </w:r>
      <w:r w:rsidR="009B226B">
        <w:t xml:space="preserve"> to cover SDG&amp;E </w:t>
      </w:r>
      <w:r w:rsidR="00AD74C8">
        <w:t xml:space="preserve">DBP-DA </w:t>
      </w:r>
      <w:r w:rsidR="009B226B">
        <w:t>event hours</w:t>
      </w:r>
      <w:r w:rsidR="00AD74C8">
        <w:t>; and 12 to 20 for SDG&amp;E DBP-DO</w:t>
      </w:r>
      <w:r>
        <w:t>).</w:t>
      </w:r>
      <w:r w:rsidR="00E23E35">
        <w:t xml:space="preserve"> The coefficients represent the estimated load change during the synthetic event hour, where negative values indicate a load reduction.</w:t>
      </w:r>
      <w:r>
        <w:t xml:space="preserve"> The values in parentheses are p-values, or measures of statistical significance. A p-value less than 0.05 indicates that the estimated coefficient is statistically significantly different f</w:t>
      </w:r>
      <w:r w:rsidRPr="009B226B">
        <w:t xml:space="preserve">rom zero with 90 percent confidence. The results for PG&amp;E and </w:t>
      </w:r>
      <w:r w:rsidR="009B226B" w:rsidRPr="009B226B">
        <w:t>SCE</w:t>
      </w:r>
      <w:r w:rsidRPr="009B226B">
        <w:t xml:space="preserve"> contain </w:t>
      </w:r>
      <w:r w:rsidR="009B226B" w:rsidRPr="009B226B">
        <w:t>a couple of s</w:t>
      </w:r>
      <w:r w:rsidRPr="009B226B">
        <w:t xml:space="preserve">tatistically significant results, but the models perform well overall. </w:t>
      </w:r>
      <w:r w:rsidR="009B226B">
        <w:t>SDG&amp;E</w:t>
      </w:r>
      <w:r w:rsidRPr="009B226B">
        <w:t xml:space="preserve">’s </w:t>
      </w:r>
      <w:r w:rsidR="00AD74C8">
        <w:t xml:space="preserve">DBP-DA </w:t>
      </w:r>
      <w:r w:rsidRPr="009B226B">
        <w:t xml:space="preserve">results </w:t>
      </w:r>
      <w:r w:rsidR="00AD74C8">
        <w:t>do not indicate bias during the event hours, though the DBP-DO results do. This load has large variations</w:t>
      </w:r>
      <w:r w:rsidR="002006D5">
        <w:t xml:space="preserve"> (e.g., </w:t>
      </w:r>
      <w:r w:rsidR="00AD74C8">
        <w:t xml:space="preserve">hour-ending 17 usage </w:t>
      </w:r>
      <w:r w:rsidR="002006D5">
        <w:t xml:space="preserve">varying from 3.7 MW to 31.0 MW across days during which that hour’s temperature was 75 degrees Fahrenheit), making it very difficult for the model to accurately predict the customer’s load. While we selected event-like non-event days with closely matching temperature conditions to the event days, the other factors affecting the customer’s behavior (which are unknown to us) drove large and unpredictable changes in the customers load. </w:t>
      </w:r>
      <w:r w:rsidR="009B226B">
        <w:t>It would be wise to exercise caution in the use of the estimates for SDG&amp;E, perhaps by interpreting them in comparing them to baseline-based estimates.</w:t>
      </w:r>
    </w:p>
    <w:p w14:paraId="07E44344" w14:textId="77777777" w:rsidR="007772B0" w:rsidRDefault="007772B0" w:rsidP="007772B0"/>
    <w:p w14:paraId="5AF54046" w14:textId="4A7A6377" w:rsidR="007772B0" w:rsidRPr="0088530C" w:rsidRDefault="007772B0" w:rsidP="007772B0">
      <w:pPr>
        <w:pStyle w:val="TableCaption"/>
        <w:keepNext/>
        <w:keepLines/>
      </w:pPr>
      <w:bookmarkStart w:id="346" w:name="_Toc415761910"/>
      <w:r w:rsidRPr="0088530C">
        <w:lastRenderedPageBreak/>
        <w:t xml:space="preserve">Table </w:t>
      </w:r>
      <w:r>
        <w:t>A</w:t>
      </w:r>
      <w:r w:rsidRPr="0088530C">
        <w:t>.</w:t>
      </w:r>
      <w:r>
        <w:t>4</w:t>
      </w:r>
      <w:r w:rsidRPr="0088530C">
        <w:t xml:space="preserve">: </w:t>
      </w:r>
      <w:r w:rsidR="00E23E35" w:rsidRPr="0088530C">
        <w:t xml:space="preserve">Synthetic Event-Day </w:t>
      </w:r>
      <w:r w:rsidR="00E23E35">
        <w:t>Estimated Load Impact Coefficients and p-values</w:t>
      </w:r>
      <w:r w:rsidR="00E23E35" w:rsidRPr="0088530C">
        <w:t xml:space="preserve"> by Program</w:t>
      </w:r>
      <w:bookmarkEnd w:id="34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784"/>
        <w:gridCol w:w="784"/>
        <w:gridCol w:w="1272"/>
        <w:gridCol w:w="1283"/>
      </w:tblGrid>
      <w:tr w:rsidR="007772B0" w14:paraId="684FD30A" w14:textId="77777777" w:rsidTr="009A32A4">
        <w:trPr>
          <w:jc w:val="center"/>
        </w:trPr>
        <w:tc>
          <w:tcPr>
            <w:tcW w:w="0" w:type="auto"/>
            <w:shd w:val="clear" w:color="auto" w:fill="D9E2F3"/>
            <w:vAlign w:val="center"/>
          </w:tcPr>
          <w:p w14:paraId="0DAF9C98" w14:textId="77777777" w:rsidR="007772B0" w:rsidRDefault="007772B0" w:rsidP="009A32A4">
            <w:pPr>
              <w:keepNext/>
              <w:keepLines/>
              <w:rPr>
                <w:rFonts w:ascii="Arial" w:hAnsi="Arial" w:cs="Arial"/>
                <w:b/>
                <w:sz w:val="20"/>
                <w:szCs w:val="20"/>
              </w:rPr>
            </w:pPr>
          </w:p>
          <w:p w14:paraId="25171A8F" w14:textId="77777777" w:rsidR="007772B0" w:rsidRDefault="007772B0" w:rsidP="009A32A4">
            <w:pPr>
              <w:keepNext/>
              <w:keepLines/>
              <w:rPr>
                <w:rFonts w:ascii="Arial" w:hAnsi="Arial" w:cs="Arial"/>
                <w:b/>
                <w:sz w:val="20"/>
                <w:szCs w:val="20"/>
              </w:rPr>
            </w:pPr>
            <w:r w:rsidRPr="00AA745A">
              <w:rPr>
                <w:rFonts w:ascii="Arial" w:hAnsi="Arial" w:cs="Arial"/>
                <w:b/>
                <w:sz w:val="20"/>
                <w:szCs w:val="20"/>
              </w:rPr>
              <w:t>Hour</w:t>
            </w:r>
          </w:p>
          <w:p w14:paraId="0262A14A" w14:textId="77777777" w:rsidR="007772B0" w:rsidRPr="00AA745A" w:rsidRDefault="007772B0" w:rsidP="009A32A4">
            <w:pPr>
              <w:keepNext/>
              <w:keepLines/>
              <w:rPr>
                <w:rFonts w:ascii="Arial" w:hAnsi="Arial" w:cs="Arial"/>
                <w:b/>
                <w:sz w:val="20"/>
                <w:szCs w:val="20"/>
              </w:rPr>
            </w:pPr>
          </w:p>
        </w:tc>
        <w:tc>
          <w:tcPr>
            <w:tcW w:w="0" w:type="auto"/>
            <w:shd w:val="clear" w:color="auto" w:fill="D9E2F3"/>
            <w:vAlign w:val="center"/>
          </w:tcPr>
          <w:p w14:paraId="1CD25659" w14:textId="77777777" w:rsidR="007772B0" w:rsidRPr="00AA745A" w:rsidRDefault="007772B0" w:rsidP="009A32A4">
            <w:pPr>
              <w:keepNext/>
              <w:keepLines/>
              <w:rPr>
                <w:rFonts w:ascii="Arial" w:hAnsi="Arial" w:cs="Arial"/>
                <w:b/>
                <w:sz w:val="20"/>
                <w:szCs w:val="20"/>
              </w:rPr>
            </w:pPr>
            <w:r w:rsidRPr="00AA745A">
              <w:rPr>
                <w:rFonts w:ascii="Arial" w:hAnsi="Arial" w:cs="Arial"/>
                <w:b/>
                <w:sz w:val="20"/>
                <w:szCs w:val="20"/>
              </w:rPr>
              <w:t>PG&amp;E</w:t>
            </w:r>
          </w:p>
        </w:tc>
        <w:tc>
          <w:tcPr>
            <w:tcW w:w="0" w:type="auto"/>
            <w:shd w:val="clear" w:color="auto" w:fill="D9E2F3"/>
            <w:vAlign w:val="center"/>
          </w:tcPr>
          <w:p w14:paraId="4C474C3B" w14:textId="77777777" w:rsidR="007772B0" w:rsidRPr="00AA745A" w:rsidRDefault="007772B0" w:rsidP="009A32A4">
            <w:pPr>
              <w:keepNext/>
              <w:keepLines/>
              <w:rPr>
                <w:rFonts w:ascii="Arial" w:hAnsi="Arial" w:cs="Arial"/>
                <w:b/>
                <w:sz w:val="20"/>
                <w:szCs w:val="20"/>
              </w:rPr>
            </w:pPr>
            <w:r w:rsidRPr="00AA745A">
              <w:rPr>
                <w:rFonts w:ascii="Arial" w:hAnsi="Arial" w:cs="Arial"/>
                <w:b/>
                <w:sz w:val="20"/>
                <w:szCs w:val="20"/>
              </w:rPr>
              <w:t>SCE</w:t>
            </w:r>
          </w:p>
        </w:tc>
        <w:tc>
          <w:tcPr>
            <w:tcW w:w="0" w:type="auto"/>
            <w:shd w:val="clear" w:color="auto" w:fill="D9E2F3"/>
            <w:vAlign w:val="center"/>
          </w:tcPr>
          <w:p w14:paraId="6644513E" w14:textId="77777777" w:rsidR="007772B0" w:rsidRPr="00AA745A" w:rsidRDefault="007772B0" w:rsidP="009A32A4">
            <w:pPr>
              <w:keepNext/>
              <w:keepLines/>
              <w:rPr>
                <w:rFonts w:ascii="Arial" w:hAnsi="Arial" w:cs="Arial"/>
                <w:b/>
                <w:sz w:val="20"/>
                <w:szCs w:val="20"/>
              </w:rPr>
            </w:pPr>
            <w:r w:rsidRPr="00AA745A">
              <w:rPr>
                <w:rFonts w:ascii="Arial" w:hAnsi="Arial" w:cs="Arial"/>
                <w:b/>
                <w:sz w:val="20"/>
                <w:szCs w:val="20"/>
              </w:rPr>
              <w:t>SDG&amp;E</w:t>
            </w:r>
            <w:r>
              <w:rPr>
                <w:rFonts w:ascii="Arial" w:hAnsi="Arial" w:cs="Arial"/>
                <w:b/>
                <w:sz w:val="20"/>
                <w:szCs w:val="20"/>
              </w:rPr>
              <w:t xml:space="preserve"> DA</w:t>
            </w:r>
          </w:p>
        </w:tc>
        <w:tc>
          <w:tcPr>
            <w:tcW w:w="0" w:type="auto"/>
            <w:shd w:val="clear" w:color="auto" w:fill="D9E2F3"/>
            <w:vAlign w:val="center"/>
          </w:tcPr>
          <w:p w14:paraId="65EDA13F" w14:textId="77777777" w:rsidR="007772B0" w:rsidRPr="00AA745A" w:rsidRDefault="007772B0" w:rsidP="009A32A4">
            <w:pPr>
              <w:keepNext/>
              <w:keepLines/>
              <w:jc w:val="center"/>
              <w:rPr>
                <w:rFonts w:ascii="Arial" w:hAnsi="Arial" w:cs="Arial"/>
                <w:b/>
                <w:sz w:val="20"/>
                <w:szCs w:val="20"/>
              </w:rPr>
            </w:pPr>
            <w:r>
              <w:rPr>
                <w:rFonts w:ascii="Arial" w:hAnsi="Arial" w:cs="Arial"/>
                <w:b/>
                <w:sz w:val="20"/>
                <w:szCs w:val="20"/>
              </w:rPr>
              <w:t>SDG&amp;E DO</w:t>
            </w:r>
          </w:p>
        </w:tc>
      </w:tr>
      <w:tr w:rsidR="00AD74C8" w14:paraId="5444372B" w14:textId="77777777" w:rsidTr="00AD74C8">
        <w:trPr>
          <w:jc w:val="center"/>
        </w:trPr>
        <w:tc>
          <w:tcPr>
            <w:tcW w:w="0" w:type="auto"/>
            <w:shd w:val="clear" w:color="auto" w:fill="auto"/>
            <w:vAlign w:val="center"/>
          </w:tcPr>
          <w:p w14:paraId="18B53E29" w14:textId="0AE24D18"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12</w:t>
            </w:r>
          </w:p>
        </w:tc>
        <w:tc>
          <w:tcPr>
            <w:tcW w:w="0" w:type="auto"/>
            <w:shd w:val="clear" w:color="auto" w:fill="auto"/>
            <w:vAlign w:val="center"/>
          </w:tcPr>
          <w:p w14:paraId="7C1E6F73" w14:textId="77777777" w:rsidR="00AD74C8" w:rsidRPr="005813FA" w:rsidRDefault="00AD74C8" w:rsidP="00AD74C8">
            <w:pPr>
              <w:jc w:val="center"/>
              <w:rPr>
                <w:rFonts w:ascii="Arial" w:hAnsi="Arial" w:cs="Arial"/>
                <w:sz w:val="20"/>
                <w:szCs w:val="20"/>
              </w:rPr>
            </w:pPr>
          </w:p>
        </w:tc>
        <w:tc>
          <w:tcPr>
            <w:tcW w:w="0" w:type="auto"/>
            <w:shd w:val="clear" w:color="auto" w:fill="auto"/>
            <w:vAlign w:val="center"/>
          </w:tcPr>
          <w:p w14:paraId="36A696B3" w14:textId="77777777" w:rsidR="00AD74C8" w:rsidRPr="005813FA" w:rsidRDefault="00AD74C8" w:rsidP="00AD74C8">
            <w:pPr>
              <w:jc w:val="center"/>
              <w:rPr>
                <w:rFonts w:ascii="Arial" w:hAnsi="Arial" w:cs="Arial"/>
                <w:sz w:val="20"/>
                <w:szCs w:val="20"/>
              </w:rPr>
            </w:pPr>
          </w:p>
        </w:tc>
        <w:tc>
          <w:tcPr>
            <w:tcW w:w="0" w:type="auto"/>
            <w:shd w:val="clear" w:color="auto" w:fill="auto"/>
            <w:vAlign w:val="center"/>
          </w:tcPr>
          <w:p w14:paraId="2FF017B0" w14:textId="448CAD13" w:rsidR="00AD74C8" w:rsidRPr="00AD74C8" w:rsidRDefault="00AD74C8" w:rsidP="00AD74C8">
            <w:pPr>
              <w:keepNext/>
              <w:keepLines/>
              <w:jc w:val="center"/>
              <w:rPr>
                <w:rFonts w:ascii="Arial" w:hAnsi="Arial" w:cs="Arial"/>
                <w:sz w:val="20"/>
                <w:szCs w:val="20"/>
              </w:rPr>
            </w:pPr>
          </w:p>
        </w:tc>
        <w:tc>
          <w:tcPr>
            <w:tcW w:w="0" w:type="auto"/>
            <w:vAlign w:val="center"/>
          </w:tcPr>
          <w:p w14:paraId="56AC07C4"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-2.849</w:t>
            </w:r>
          </w:p>
          <w:p w14:paraId="28C9796E" w14:textId="063CDE7B" w:rsidR="00AD74C8" w:rsidRPr="00AD74C8" w:rsidRDefault="00AD74C8" w:rsidP="00AD74C8">
            <w:pPr>
              <w:keepNext/>
              <w:keepLines/>
              <w:jc w:val="center"/>
              <w:rPr>
                <w:rFonts w:ascii="Arial" w:hAnsi="Arial" w:cs="Arial"/>
                <w:sz w:val="20"/>
                <w:szCs w:val="20"/>
              </w:rPr>
            </w:pPr>
            <w:r>
              <w:rPr>
                <w:rFonts w:ascii="Arial" w:hAnsi="Arial" w:cs="Arial"/>
                <w:sz w:val="20"/>
                <w:szCs w:val="20"/>
              </w:rPr>
              <w:t>(0.02)</w:t>
            </w:r>
          </w:p>
        </w:tc>
      </w:tr>
      <w:tr w:rsidR="00AD74C8" w14:paraId="7A0E9505" w14:textId="77777777" w:rsidTr="00AD74C8">
        <w:trPr>
          <w:jc w:val="center"/>
        </w:trPr>
        <w:tc>
          <w:tcPr>
            <w:tcW w:w="0" w:type="auto"/>
            <w:shd w:val="clear" w:color="auto" w:fill="auto"/>
            <w:vAlign w:val="center"/>
          </w:tcPr>
          <w:p w14:paraId="596008B6" w14:textId="77777777"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13</w:t>
            </w:r>
          </w:p>
        </w:tc>
        <w:tc>
          <w:tcPr>
            <w:tcW w:w="0" w:type="auto"/>
            <w:shd w:val="clear" w:color="auto" w:fill="auto"/>
            <w:vAlign w:val="center"/>
          </w:tcPr>
          <w:p w14:paraId="348FF6CB"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0.006</w:t>
            </w:r>
          </w:p>
          <w:p w14:paraId="7C16C0D9" w14:textId="13015341" w:rsidR="00AD74C8" w:rsidRPr="005813FA" w:rsidRDefault="00AD74C8" w:rsidP="00AD74C8">
            <w:pPr>
              <w:jc w:val="center"/>
              <w:rPr>
                <w:rFonts w:ascii="Arial" w:hAnsi="Arial" w:cs="Arial"/>
                <w:sz w:val="20"/>
                <w:szCs w:val="20"/>
              </w:rPr>
            </w:pPr>
            <w:r w:rsidRPr="005813FA">
              <w:rPr>
                <w:rFonts w:ascii="Arial" w:hAnsi="Arial" w:cs="Arial"/>
                <w:sz w:val="20"/>
                <w:szCs w:val="20"/>
              </w:rPr>
              <w:t>(0.72)</w:t>
            </w:r>
          </w:p>
        </w:tc>
        <w:tc>
          <w:tcPr>
            <w:tcW w:w="0" w:type="auto"/>
            <w:shd w:val="clear" w:color="auto" w:fill="auto"/>
            <w:vAlign w:val="center"/>
          </w:tcPr>
          <w:p w14:paraId="0AB8B8A5"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0.024</w:t>
            </w:r>
          </w:p>
          <w:p w14:paraId="34A1EB39" w14:textId="6E73FCFE" w:rsidR="00AD74C8" w:rsidRPr="005813FA" w:rsidRDefault="00AD74C8" w:rsidP="00AD74C8">
            <w:pPr>
              <w:jc w:val="center"/>
              <w:rPr>
                <w:rFonts w:ascii="Arial" w:hAnsi="Arial" w:cs="Arial"/>
                <w:sz w:val="20"/>
                <w:szCs w:val="20"/>
              </w:rPr>
            </w:pPr>
            <w:r w:rsidRPr="005813FA">
              <w:rPr>
                <w:rFonts w:ascii="Arial" w:hAnsi="Arial" w:cs="Arial"/>
                <w:sz w:val="20"/>
                <w:szCs w:val="20"/>
              </w:rPr>
              <w:t>(0.04)</w:t>
            </w:r>
          </w:p>
        </w:tc>
        <w:tc>
          <w:tcPr>
            <w:tcW w:w="0" w:type="auto"/>
            <w:shd w:val="clear" w:color="auto" w:fill="auto"/>
            <w:vAlign w:val="center"/>
          </w:tcPr>
          <w:p w14:paraId="42C9C079" w14:textId="63D88D76" w:rsidR="00AD74C8" w:rsidRPr="00AD74C8" w:rsidRDefault="00AD74C8" w:rsidP="00AD74C8">
            <w:pPr>
              <w:keepNext/>
              <w:keepLines/>
              <w:jc w:val="center"/>
              <w:rPr>
                <w:rFonts w:ascii="Arial" w:hAnsi="Arial" w:cs="Arial"/>
                <w:sz w:val="20"/>
                <w:szCs w:val="20"/>
              </w:rPr>
            </w:pPr>
          </w:p>
        </w:tc>
        <w:tc>
          <w:tcPr>
            <w:tcW w:w="0" w:type="auto"/>
            <w:vAlign w:val="center"/>
          </w:tcPr>
          <w:p w14:paraId="682FC95B"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-2.443</w:t>
            </w:r>
          </w:p>
          <w:p w14:paraId="33CA7C48" w14:textId="721C9850" w:rsidR="00AD74C8" w:rsidRPr="00AD74C8" w:rsidRDefault="00AD74C8" w:rsidP="00AD74C8">
            <w:pPr>
              <w:keepNext/>
              <w:keepLines/>
              <w:jc w:val="center"/>
              <w:rPr>
                <w:rFonts w:ascii="Arial" w:hAnsi="Arial" w:cs="Arial"/>
                <w:sz w:val="20"/>
                <w:szCs w:val="20"/>
              </w:rPr>
            </w:pPr>
            <w:r>
              <w:rPr>
                <w:rFonts w:ascii="Arial" w:hAnsi="Arial" w:cs="Arial"/>
                <w:sz w:val="20"/>
                <w:szCs w:val="20"/>
              </w:rPr>
              <w:t>(0.05)</w:t>
            </w:r>
          </w:p>
        </w:tc>
      </w:tr>
      <w:tr w:rsidR="00AD74C8" w14:paraId="36A528D0" w14:textId="77777777" w:rsidTr="00AD74C8">
        <w:trPr>
          <w:jc w:val="center"/>
        </w:trPr>
        <w:tc>
          <w:tcPr>
            <w:tcW w:w="0" w:type="auto"/>
            <w:shd w:val="clear" w:color="auto" w:fill="auto"/>
            <w:vAlign w:val="center"/>
          </w:tcPr>
          <w:p w14:paraId="1C77C9DE" w14:textId="3ED7E788"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14</w:t>
            </w:r>
          </w:p>
        </w:tc>
        <w:tc>
          <w:tcPr>
            <w:tcW w:w="0" w:type="auto"/>
            <w:shd w:val="clear" w:color="auto" w:fill="auto"/>
            <w:vAlign w:val="center"/>
          </w:tcPr>
          <w:p w14:paraId="503220D0"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-0.006</w:t>
            </w:r>
          </w:p>
          <w:p w14:paraId="11D7DA54" w14:textId="1934C8B4" w:rsidR="00AD74C8" w:rsidRPr="005813FA" w:rsidRDefault="00AD74C8" w:rsidP="00AD74C8">
            <w:pPr>
              <w:jc w:val="center"/>
              <w:rPr>
                <w:rFonts w:ascii="Arial" w:hAnsi="Arial" w:cs="Arial"/>
                <w:sz w:val="20"/>
                <w:szCs w:val="20"/>
              </w:rPr>
            </w:pPr>
            <w:r w:rsidRPr="005813FA">
              <w:rPr>
                <w:rFonts w:ascii="Arial" w:hAnsi="Arial" w:cs="Arial"/>
                <w:sz w:val="20"/>
                <w:szCs w:val="20"/>
              </w:rPr>
              <w:t>(0.73)</w:t>
            </w:r>
          </w:p>
        </w:tc>
        <w:tc>
          <w:tcPr>
            <w:tcW w:w="0" w:type="auto"/>
            <w:shd w:val="clear" w:color="auto" w:fill="auto"/>
            <w:vAlign w:val="center"/>
          </w:tcPr>
          <w:p w14:paraId="1EB3F884"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-0.006</w:t>
            </w:r>
          </w:p>
          <w:p w14:paraId="3B50B22B" w14:textId="43D5B02D" w:rsidR="00AD74C8" w:rsidRPr="005813FA" w:rsidRDefault="00AD74C8" w:rsidP="00AD74C8">
            <w:pPr>
              <w:jc w:val="center"/>
              <w:rPr>
                <w:rFonts w:ascii="Arial" w:hAnsi="Arial" w:cs="Arial"/>
                <w:sz w:val="20"/>
                <w:szCs w:val="20"/>
              </w:rPr>
            </w:pPr>
            <w:r w:rsidRPr="005813FA">
              <w:rPr>
                <w:rFonts w:ascii="Arial" w:hAnsi="Arial" w:cs="Arial"/>
                <w:sz w:val="20"/>
                <w:szCs w:val="20"/>
              </w:rPr>
              <w:t>(0.62)</w:t>
            </w:r>
          </w:p>
        </w:tc>
        <w:tc>
          <w:tcPr>
            <w:tcW w:w="0" w:type="auto"/>
            <w:shd w:val="clear" w:color="auto" w:fill="auto"/>
            <w:vAlign w:val="center"/>
          </w:tcPr>
          <w:p w14:paraId="3EB5A7D2" w14:textId="05B7E6BA" w:rsidR="00AD74C8" w:rsidRPr="00AD74C8" w:rsidRDefault="00AD74C8" w:rsidP="00AD74C8">
            <w:pPr>
              <w:keepNext/>
              <w:keepLines/>
              <w:jc w:val="center"/>
              <w:rPr>
                <w:rFonts w:ascii="Arial" w:hAnsi="Arial" w:cs="Arial"/>
                <w:sz w:val="20"/>
                <w:szCs w:val="20"/>
              </w:rPr>
            </w:pPr>
          </w:p>
        </w:tc>
        <w:tc>
          <w:tcPr>
            <w:tcW w:w="0" w:type="auto"/>
            <w:vAlign w:val="center"/>
          </w:tcPr>
          <w:p w14:paraId="4E0C2FA5"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-2.190</w:t>
            </w:r>
          </w:p>
          <w:p w14:paraId="7F067AE2" w14:textId="5C5CBB3E" w:rsidR="00AD74C8" w:rsidRPr="00AD74C8" w:rsidRDefault="00AD74C8" w:rsidP="00AD74C8">
            <w:pPr>
              <w:keepNext/>
              <w:keepLines/>
              <w:jc w:val="center"/>
              <w:rPr>
                <w:rFonts w:ascii="Arial" w:hAnsi="Arial" w:cs="Arial"/>
                <w:sz w:val="20"/>
                <w:szCs w:val="20"/>
              </w:rPr>
            </w:pPr>
            <w:r>
              <w:rPr>
                <w:rFonts w:ascii="Arial" w:hAnsi="Arial" w:cs="Arial"/>
                <w:sz w:val="20"/>
                <w:szCs w:val="20"/>
              </w:rPr>
              <w:t>(0.08)</w:t>
            </w:r>
          </w:p>
        </w:tc>
      </w:tr>
      <w:tr w:rsidR="00AD74C8" w14:paraId="2BEB82F9" w14:textId="77777777" w:rsidTr="00AD74C8">
        <w:trPr>
          <w:jc w:val="center"/>
        </w:trPr>
        <w:tc>
          <w:tcPr>
            <w:tcW w:w="0" w:type="auto"/>
            <w:shd w:val="clear" w:color="auto" w:fill="auto"/>
            <w:vAlign w:val="center"/>
          </w:tcPr>
          <w:p w14:paraId="791B7F03" w14:textId="79519107"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15</w:t>
            </w:r>
          </w:p>
        </w:tc>
        <w:tc>
          <w:tcPr>
            <w:tcW w:w="0" w:type="auto"/>
            <w:shd w:val="clear" w:color="auto" w:fill="auto"/>
            <w:vAlign w:val="center"/>
          </w:tcPr>
          <w:p w14:paraId="14399991"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-0.016</w:t>
            </w:r>
          </w:p>
          <w:p w14:paraId="11E532E4" w14:textId="0D224851" w:rsidR="00AD74C8" w:rsidRPr="005813FA" w:rsidRDefault="00AD74C8" w:rsidP="00AD74C8">
            <w:pPr>
              <w:jc w:val="center"/>
              <w:rPr>
                <w:rFonts w:ascii="Arial" w:hAnsi="Arial" w:cs="Arial"/>
                <w:sz w:val="20"/>
                <w:szCs w:val="20"/>
              </w:rPr>
            </w:pPr>
            <w:r w:rsidRPr="005813FA">
              <w:rPr>
                <w:rFonts w:ascii="Arial" w:hAnsi="Arial" w:cs="Arial"/>
                <w:sz w:val="20"/>
                <w:szCs w:val="20"/>
              </w:rPr>
              <w:t>(0.34)</w:t>
            </w:r>
          </w:p>
        </w:tc>
        <w:tc>
          <w:tcPr>
            <w:tcW w:w="0" w:type="auto"/>
            <w:shd w:val="clear" w:color="auto" w:fill="auto"/>
            <w:vAlign w:val="center"/>
          </w:tcPr>
          <w:p w14:paraId="376377C9"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-0.009</w:t>
            </w:r>
          </w:p>
          <w:p w14:paraId="02027DBA" w14:textId="6D7E4430" w:rsidR="00AD74C8" w:rsidRPr="005813FA" w:rsidRDefault="00AD74C8" w:rsidP="00AD74C8">
            <w:pPr>
              <w:jc w:val="center"/>
              <w:rPr>
                <w:rFonts w:ascii="Arial" w:hAnsi="Arial" w:cs="Arial"/>
                <w:sz w:val="20"/>
                <w:szCs w:val="20"/>
              </w:rPr>
            </w:pPr>
            <w:r w:rsidRPr="005813FA">
              <w:rPr>
                <w:rFonts w:ascii="Arial" w:hAnsi="Arial" w:cs="Arial"/>
                <w:sz w:val="20"/>
                <w:szCs w:val="20"/>
              </w:rPr>
              <w:t>(0.46)</w:t>
            </w:r>
          </w:p>
        </w:tc>
        <w:tc>
          <w:tcPr>
            <w:tcW w:w="0" w:type="auto"/>
            <w:shd w:val="clear" w:color="auto" w:fill="auto"/>
            <w:vAlign w:val="center"/>
          </w:tcPr>
          <w:p w14:paraId="2A9C1864" w14:textId="7B1B0E89" w:rsidR="00AD74C8" w:rsidRPr="00AD74C8" w:rsidRDefault="00AD74C8" w:rsidP="00AD74C8">
            <w:pPr>
              <w:keepNext/>
              <w:keepLines/>
              <w:jc w:val="center"/>
              <w:rPr>
                <w:rFonts w:ascii="Arial" w:hAnsi="Arial" w:cs="Arial"/>
                <w:sz w:val="20"/>
                <w:szCs w:val="20"/>
              </w:rPr>
            </w:pPr>
          </w:p>
        </w:tc>
        <w:tc>
          <w:tcPr>
            <w:tcW w:w="0" w:type="auto"/>
            <w:vAlign w:val="center"/>
          </w:tcPr>
          <w:p w14:paraId="6C881F6C"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-2.673</w:t>
            </w:r>
          </w:p>
          <w:p w14:paraId="2D6C39A0" w14:textId="20A3025E" w:rsidR="00AD74C8" w:rsidRPr="00AD74C8" w:rsidRDefault="00AD74C8" w:rsidP="00AD74C8">
            <w:pPr>
              <w:keepNext/>
              <w:keepLines/>
              <w:jc w:val="center"/>
              <w:rPr>
                <w:rFonts w:ascii="Arial" w:hAnsi="Arial" w:cs="Arial"/>
                <w:sz w:val="20"/>
                <w:szCs w:val="20"/>
              </w:rPr>
            </w:pPr>
            <w:r>
              <w:rPr>
                <w:rFonts w:ascii="Arial" w:hAnsi="Arial" w:cs="Arial"/>
                <w:sz w:val="20"/>
                <w:szCs w:val="20"/>
              </w:rPr>
              <w:t>(0.03)</w:t>
            </w:r>
          </w:p>
        </w:tc>
      </w:tr>
      <w:tr w:rsidR="00AD74C8" w14:paraId="241ECB65" w14:textId="77777777" w:rsidTr="00AD74C8">
        <w:trPr>
          <w:jc w:val="center"/>
        </w:trPr>
        <w:tc>
          <w:tcPr>
            <w:tcW w:w="0" w:type="auto"/>
            <w:shd w:val="clear" w:color="auto" w:fill="auto"/>
            <w:vAlign w:val="center"/>
          </w:tcPr>
          <w:p w14:paraId="050C47C1" w14:textId="00C5136A"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16</w:t>
            </w:r>
          </w:p>
        </w:tc>
        <w:tc>
          <w:tcPr>
            <w:tcW w:w="0" w:type="auto"/>
            <w:shd w:val="clear" w:color="auto" w:fill="auto"/>
            <w:vAlign w:val="center"/>
          </w:tcPr>
          <w:p w14:paraId="7D51CADC"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-0.026</w:t>
            </w:r>
          </w:p>
          <w:p w14:paraId="2483D034" w14:textId="6B0A8DE7" w:rsidR="00AD74C8" w:rsidRPr="005813FA" w:rsidRDefault="00AD74C8" w:rsidP="00AD74C8">
            <w:pPr>
              <w:jc w:val="center"/>
              <w:rPr>
                <w:rFonts w:ascii="Arial" w:hAnsi="Arial" w:cs="Arial"/>
                <w:sz w:val="20"/>
                <w:szCs w:val="20"/>
              </w:rPr>
            </w:pPr>
            <w:r w:rsidRPr="005813FA">
              <w:rPr>
                <w:rFonts w:ascii="Arial" w:hAnsi="Arial" w:cs="Arial"/>
                <w:sz w:val="20"/>
                <w:szCs w:val="20"/>
              </w:rPr>
              <w:t>(0.12)</w:t>
            </w:r>
          </w:p>
        </w:tc>
        <w:tc>
          <w:tcPr>
            <w:tcW w:w="0" w:type="auto"/>
            <w:shd w:val="clear" w:color="auto" w:fill="auto"/>
            <w:vAlign w:val="center"/>
          </w:tcPr>
          <w:p w14:paraId="23C41E1B"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-0.013</w:t>
            </w:r>
          </w:p>
          <w:p w14:paraId="2DEC3D29" w14:textId="07C07927" w:rsidR="00AD74C8" w:rsidRPr="005813FA" w:rsidRDefault="00AD74C8" w:rsidP="00AD74C8">
            <w:pPr>
              <w:jc w:val="center"/>
              <w:rPr>
                <w:rFonts w:ascii="Arial" w:hAnsi="Arial" w:cs="Arial"/>
                <w:sz w:val="20"/>
                <w:szCs w:val="20"/>
              </w:rPr>
            </w:pPr>
            <w:r w:rsidRPr="005813FA">
              <w:rPr>
                <w:rFonts w:ascii="Arial" w:hAnsi="Arial" w:cs="Arial"/>
                <w:sz w:val="20"/>
                <w:szCs w:val="20"/>
              </w:rPr>
              <w:t>(0.27)</w:t>
            </w:r>
          </w:p>
        </w:tc>
        <w:tc>
          <w:tcPr>
            <w:tcW w:w="0" w:type="auto"/>
            <w:shd w:val="clear" w:color="auto" w:fill="auto"/>
            <w:vAlign w:val="center"/>
          </w:tcPr>
          <w:p w14:paraId="39265890" w14:textId="58099AF9" w:rsidR="00AD74C8" w:rsidRPr="00AD74C8" w:rsidRDefault="00AD74C8" w:rsidP="00AD74C8">
            <w:pPr>
              <w:keepNext/>
              <w:keepLines/>
              <w:jc w:val="center"/>
              <w:rPr>
                <w:rFonts w:ascii="Arial" w:hAnsi="Arial" w:cs="Arial"/>
                <w:sz w:val="20"/>
                <w:szCs w:val="20"/>
              </w:rPr>
            </w:pPr>
          </w:p>
        </w:tc>
        <w:tc>
          <w:tcPr>
            <w:tcW w:w="0" w:type="auto"/>
            <w:vAlign w:val="center"/>
          </w:tcPr>
          <w:p w14:paraId="289E94EF"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-3.487</w:t>
            </w:r>
          </w:p>
          <w:p w14:paraId="663897A7" w14:textId="4FD57A8F" w:rsidR="00AD74C8" w:rsidRPr="00AD74C8" w:rsidRDefault="00AD74C8" w:rsidP="00AD74C8">
            <w:pPr>
              <w:keepNext/>
              <w:keepLines/>
              <w:jc w:val="center"/>
              <w:rPr>
                <w:rFonts w:ascii="Arial" w:hAnsi="Arial" w:cs="Arial"/>
                <w:sz w:val="20"/>
                <w:szCs w:val="20"/>
              </w:rPr>
            </w:pPr>
            <w:r>
              <w:rPr>
                <w:rFonts w:ascii="Arial" w:hAnsi="Arial" w:cs="Arial"/>
                <w:sz w:val="20"/>
                <w:szCs w:val="20"/>
              </w:rPr>
              <w:t>(0.00)</w:t>
            </w:r>
          </w:p>
        </w:tc>
      </w:tr>
      <w:tr w:rsidR="00AD74C8" w14:paraId="5B56915D" w14:textId="77777777" w:rsidTr="00AD74C8">
        <w:trPr>
          <w:jc w:val="center"/>
        </w:trPr>
        <w:tc>
          <w:tcPr>
            <w:tcW w:w="0" w:type="auto"/>
            <w:shd w:val="clear" w:color="auto" w:fill="auto"/>
            <w:vAlign w:val="center"/>
          </w:tcPr>
          <w:p w14:paraId="4C6DA07B" w14:textId="6ED72C90"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17</w:t>
            </w:r>
          </w:p>
        </w:tc>
        <w:tc>
          <w:tcPr>
            <w:tcW w:w="0" w:type="auto"/>
            <w:shd w:val="clear" w:color="auto" w:fill="auto"/>
            <w:vAlign w:val="center"/>
          </w:tcPr>
          <w:p w14:paraId="5C98CD52"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-0.029</w:t>
            </w:r>
          </w:p>
          <w:p w14:paraId="6C9CE020" w14:textId="45F008A2" w:rsidR="00AD74C8" w:rsidRPr="005813FA" w:rsidRDefault="00AD74C8" w:rsidP="00AD74C8">
            <w:pPr>
              <w:jc w:val="center"/>
              <w:rPr>
                <w:rFonts w:ascii="Arial" w:hAnsi="Arial" w:cs="Arial"/>
                <w:sz w:val="20"/>
                <w:szCs w:val="20"/>
              </w:rPr>
            </w:pPr>
            <w:r w:rsidRPr="005813FA">
              <w:rPr>
                <w:rFonts w:ascii="Arial" w:hAnsi="Arial" w:cs="Arial"/>
                <w:sz w:val="20"/>
                <w:szCs w:val="20"/>
              </w:rPr>
              <w:t>(0.08)</w:t>
            </w:r>
          </w:p>
        </w:tc>
        <w:tc>
          <w:tcPr>
            <w:tcW w:w="0" w:type="auto"/>
            <w:shd w:val="clear" w:color="auto" w:fill="auto"/>
            <w:vAlign w:val="center"/>
          </w:tcPr>
          <w:p w14:paraId="709F8617"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0.003</w:t>
            </w:r>
          </w:p>
          <w:p w14:paraId="488E6C99" w14:textId="293FBCDF" w:rsidR="00AD74C8" w:rsidRPr="005813FA" w:rsidRDefault="00AD74C8" w:rsidP="00AD74C8">
            <w:pPr>
              <w:jc w:val="center"/>
              <w:rPr>
                <w:rFonts w:ascii="Arial" w:hAnsi="Arial" w:cs="Arial"/>
                <w:sz w:val="20"/>
                <w:szCs w:val="20"/>
              </w:rPr>
            </w:pPr>
            <w:r w:rsidRPr="005813FA">
              <w:rPr>
                <w:rFonts w:ascii="Arial" w:hAnsi="Arial" w:cs="Arial"/>
                <w:sz w:val="20"/>
                <w:szCs w:val="20"/>
              </w:rPr>
              <w:t>(0.77)</w:t>
            </w:r>
          </w:p>
        </w:tc>
        <w:tc>
          <w:tcPr>
            <w:tcW w:w="0" w:type="auto"/>
            <w:shd w:val="clear" w:color="auto" w:fill="auto"/>
            <w:vAlign w:val="center"/>
          </w:tcPr>
          <w:p w14:paraId="4E6CE65C"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0.181</w:t>
            </w:r>
          </w:p>
          <w:p w14:paraId="76944AA8" w14:textId="7B50287E" w:rsidR="00AD74C8" w:rsidRPr="00AD74C8" w:rsidRDefault="00AD74C8" w:rsidP="00AD74C8">
            <w:pPr>
              <w:keepNext/>
              <w:keepLines/>
              <w:jc w:val="center"/>
              <w:rPr>
                <w:rFonts w:ascii="Arial" w:hAnsi="Arial" w:cs="Arial"/>
                <w:sz w:val="20"/>
                <w:szCs w:val="20"/>
              </w:rPr>
            </w:pPr>
            <w:r>
              <w:rPr>
                <w:rFonts w:ascii="Arial" w:hAnsi="Arial" w:cs="Arial"/>
                <w:sz w:val="20"/>
                <w:szCs w:val="20"/>
              </w:rPr>
              <w:t>(0.47)</w:t>
            </w:r>
          </w:p>
        </w:tc>
        <w:tc>
          <w:tcPr>
            <w:tcW w:w="0" w:type="auto"/>
            <w:vAlign w:val="center"/>
          </w:tcPr>
          <w:p w14:paraId="2141368D"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-3.916</w:t>
            </w:r>
          </w:p>
          <w:p w14:paraId="6B313F4E" w14:textId="5DD687C0" w:rsidR="00AD74C8" w:rsidRPr="00AD74C8" w:rsidRDefault="00AD74C8" w:rsidP="00AD74C8">
            <w:pPr>
              <w:keepNext/>
              <w:keepLines/>
              <w:jc w:val="center"/>
              <w:rPr>
                <w:rFonts w:ascii="Arial" w:hAnsi="Arial" w:cs="Arial"/>
                <w:sz w:val="20"/>
                <w:szCs w:val="20"/>
              </w:rPr>
            </w:pPr>
            <w:r>
              <w:rPr>
                <w:rFonts w:ascii="Arial" w:hAnsi="Arial" w:cs="Arial"/>
                <w:sz w:val="20"/>
                <w:szCs w:val="20"/>
              </w:rPr>
              <w:t>(0.00)</w:t>
            </w:r>
          </w:p>
        </w:tc>
      </w:tr>
      <w:tr w:rsidR="00AD74C8" w14:paraId="2ED3B9D1" w14:textId="77777777" w:rsidTr="00AD74C8">
        <w:trPr>
          <w:jc w:val="center"/>
        </w:trPr>
        <w:tc>
          <w:tcPr>
            <w:tcW w:w="0" w:type="auto"/>
            <w:shd w:val="clear" w:color="auto" w:fill="auto"/>
            <w:vAlign w:val="center"/>
          </w:tcPr>
          <w:p w14:paraId="23138AB5" w14:textId="32E80223"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18</w:t>
            </w:r>
          </w:p>
        </w:tc>
        <w:tc>
          <w:tcPr>
            <w:tcW w:w="0" w:type="auto"/>
            <w:shd w:val="clear" w:color="auto" w:fill="auto"/>
            <w:vAlign w:val="center"/>
          </w:tcPr>
          <w:p w14:paraId="720204C9"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-0.026</w:t>
            </w:r>
          </w:p>
          <w:p w14:paraId="51C7AB32" w14:textId="2F0F67A0" w:rsidR="00AD74C8" w:rsidRPr="005813FA" w:rsidRDefault="00AD74C8" w:rsidP="00AD74C8">
            <w:pPr>
              <w:jc w:val="center"/>
              <w:rPr>
                <w:rFonts w:ascii="Arial" w:hAnsi="Arial" w:cs="Arial"/>
                <w:sz w:val="20"/>
                <w:szCs w:val="20"/>
              </w:rPr>
            </w:pPr>
            <w:r w:rsidRPr="005813FA">
              <w:rPr>
                <w:rFonts w:ascii="Arial" w:hAnsi="Arial" w:cs="Arial"/>
                <w:sz w:val="20"/>
                <w:szCs w:val="20"/>
              </w:rPr>
              <w:t>(0.12)</w:t>
            </w:r>
          </w:p>
        </w:tc>
        <w:tc>
          <w:tcPr>
            <w:tcW w:w="0" w:type="auto"/>
            <w:shd w:val="clear" w:color="auto" w:fill="auto"/>
            <w:vAlign w:val="center"/>
          </w:tcPr>
          <w:p w14:paraId="6027A069"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-0.001</w:t>
            </w:r>
          </w:p>
          <w:p w14:paraId="2C53FE37" w14:textId="33BBC9FD" w:rsidR="00AD74C8" w:rsidRPr="005813FA" w:rsidRDefault="00AD74C8" w:rsidP="00AD74C8">
            <w:pPr>
              <w:jc w:val="center"/>
              <w:rPr>
                <w:rFonts w:ascii="Arial" w:hAnsi="Arial" w:cs="Arial"/>
                <w:sz w:val="20"/>
                <w:szCs w:val="20"/>
              </w:rPr>
            </w:pPr>
            <w:r w:rsidRPr="005813FA">
              <w:rPr>
                <w:rFonts w:ascii="Arial" w:hAnsi="Arial" w:cs="Arial"/>
                <w:sz w:val="20"/>
                <w:szCs w:val="20"/>
              </w:rPr>
              <w:t>(0.92)</w:t>
            </w:r>
          </w:p>
        </w:tc>
        <w:tc>
          <w:tcPr>
            <w:tcW w:w="0" w:type="auto"/>
            <w:shd w:val="clear" w:color="auto" w:fill="auto"/>
            <w:vAlign w:val="center"/>
          </w:tcPr>
          <w:p w14:paraId="4D2E590B"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0.104</w:t>
            </w:r>
          </w:p>
          <w:p w14:paraId="2D4C5222" w14:textId="4CE2B8BE" w:rsidR="00AD74C8" w:rsidRPr="00AD74C8" w:rsidRDefault="00AD74C8" w:rsidP="00AD74C8">
            <w:pPr>
              <w:keepNext/>
              <w:keepLines/>
              <w:jc w:val="center"/>
              <w:rPr>
                <w:rFonts w:ascii="Arial" w:hAnsi="Arial" w:cs="Arial"/>
                <w:sz w:val="20"/>
                <w:szCs w:val="20"/>
              </w:rPr>
            </w:pPr>
            <w:r>
              <w:rPr>
                <w:rFonts w:ascii="Arial" w:hAnsi="Arial" w:cs="Arial"/>
                <w:sz w:val="20"/>
                <w:szCs w:val="20"/>
              </w:rPr>
              <w:t>(0.69)</w:t>
            </w:r>
          </w:p>
        </w:tc>
        <w:tc>
          <w:tcPr>
            <w:tcW w:w="0" w:type="auto"/>
            <w:vAlign w:val="center"/>
          </w:tcPr>
          <w:p w14:paraId="0A22CA5D"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-4.075</w:t>
            </w:r>
          </w:p>
          <w:p w14:paraId="63F7A722" w14:textId="73B9FDB1" w:rsidR="00AD74C8" w:rsidRPr="00AD74C8" w:rsidRDefault="00AD74C8" w:rsidP="00AD74C8">
            <w:pPr>
              <w:keepNext/>
              <w:keepLines/>
              <w:jc w:val="center"/>
              <w:rPr>
                <w:rFonts w:ascii="Arial" w:hAnsi="Arial" w:cs="Arial"/>
                <w:sz w:val="20"/>
                <w:szCs w:val="20"/>
              </w:rPr>
            </w:pPr>
            <w:r>
              <w:rPr>
                <w:rFonts w:ascii="Arial" w:hAnsi="Arial" w:cs="Arial"/>
                <w:sz w:val="20"/>
                <w:szCs w:val="20"/>
              </w:rPr>
              <w:t>(0.00)</w:t>
            </w:r>
          </w:p>
        </w:tc>
      </w:tr>
      <w:tr w:rsidR="00AD74C8" w14:paraId="5D6CBEE1" w14:textId="77777777" w:rsidTr="00AD74C8">
        <w:trPr>
          <w:jc w:val="center"/>
        </w:trPr>
        <w:tc>
          <w:tcPr>
            <w:tcW w:w="0" w:type="auto"/>
            <w:shd w:val="clear" w:color="auto" w:fill="auto"/>
            <w:vAlign w:val="center"/>
          </w:tcPr>
          <w:p w14:paraId="0B8C4113" w14:textId="6B41CDF5"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19</w:t>
            </w:r>
          </w:p>
        </w:tc>
        <w:tc>
          <w:tcPr>
            <w:tcW w:w="0" w:type="auto"/>
            <w:shd w:val="clear" w:color="auto" w:fill="auto"/>
            <w:vAlign w:val="center"/>
          </w:tcPr>
          <w:p w14:paraId="0034E298"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-0.024</w:t>
            </w:r>
          </w:p>
          <w:p w14:paraId="5A604303" w14:textId="1A8E7554" w:rsidR="00AD74C8" w:rsidRPr="005813FA" w:rsidRDefault="00AD74C8" w:rsidP="00AD74C8">
            <w:pPr>
              <w:jc w:val="center"/>
              <w:rPr>
                <w:rFonts w:ascii="Arial" w:hAnsi="Arial" w:cs="Arial"/>
                <w:sz w:val="20"/>
                <w:szCs w:val="20"/>
              </w:rPr>
            </w:pPr>
            <w:r w:rsidRPr="005813FA">
              <w:rPr>
                <w:rFonts w:ascii="Arial" w:hAnsi="Arial" w:cs="Arial"/>
                <w:sz w:val="20"/>
                <w:szCs w:val="20"/>
              </w:rPr>
              <w:t>(0.15)</w:t>
            </w:r>
          </w:p>
        </w:tc>
        <w:tc>
          <w:tcPr>
            <w:tcW w:w="0" w:type="auto"/>
            <w:shd w:val="clear" w:color="auto" w:fill="auto"/>
            <w:vAlign w:val="center"/>
          </w:tcPr>
          <w:p w14:paraId="1ACFD8E6"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-0.015</w:t>
            </w:r>
          </w:p>
          <w:p w14:paraId="6F9A4DA0" w14:textId="3834CF00" w:rsidR="00AD74C8" w:rsidRPr="005813FA" w:rsidRDefault="00AD74C8" w:rsidP="00AD74C8">
            <w:pPr>
              <w:jc w:val="center"/>
              <w:rPr>
                <w:rFonts w:ascii="Arial" w:hAnsi="Arial" w:cs="Arial"/>
                <w:sz w:val="20"/>
                <w:szCs w:val="20"/>
              </w:rPr>
            </w:pPr>
            <w:r w:rsidRPr="005813FA">
              <w:rPr>
                <w:rFonts w:ascii="Arial" w:hAnsi="Arial" w:cs="Arial"/>
                <w:sz w:val="20"/>
                <w:szCs w:val="20"/>
              </w:rPr>
              <w:t>(0.20)</w:t>
            </w:r>
          </w:p>
        </w:tc>
        <w:tc>
          <w:tcPr>
            <w:tcW w:w="0" w:type="auto"/>
            <w:shd w:val="clear" w:color="auto" w:fill="auto"/>
            <w:vAlign w:val="center"/>
          </w:tcPr>
          <w:p w14:paraId="30D6398D"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0.099</w:t>
            </w:r>
          </w:p>
          <w:p w14:paraId="0DA0ED09" w14:textId="056D6FF8" w:rsidR="00AD74C8" w:rsidRPr="00AD74C8" w:rsidRDefault="00AD74C8" w:rsidP="00AD74C8">
            <w:pPr>
              <w:keepNext/>
              <w:keepLines/>
              <w:jc w:val="center"/>
              <w:rPr>
                <w:rFonts w:ascii="Arial" w:hAnsi="Arial" w:cs="Arial"/>
                <w:sz w:val="20"/>
                <w:szCs w:val="20"/>
              </w:rPr>
            </w:pPr>
            <w:r>
              <w:rPr>
                <w:rFonts w:ascii="Arial" w:hAnsi="Arial" w:cs="Arial"/>
                <w:sz w:val="20"/>
                <w:szCs w:val="20"/>
              </w:rPr>
              <w:t>(0.68)</w:t>
            </w:r>
          </w:p>
        </w:tc>
        <w:tc>
          <w:tcPr>
            <w:tcW w:w="0" w:type="auto"/>
            <w:vAlign w:val="center"/>
          </w:tcPr>
          <w:p w14:paraId="41465A13"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-3.395</w:t>
            </w:r>
          </w:p>
          <w:p w14:paraId="71B23A20" w14:textId="42FA5E99" w:rsidR="00AD74C8" w:rsidRPr="00AD74C8" w:rsidRDefault="00AD74C8" w:rsidP="00AD74C8">
            <w:pPr>
              <w:keepNext/>
              <w:keepLines/>
              <w:jc w:val="center"/>
              <w:rPr>
                <w:rFonts w:ascii="Arial" w:hAnsi="Arial" w:cs="Arial"/>
                <w:sz w:val="20"/>
                <w:szCs w:val="20"/>
              </w:rPr>
            </w:pPr>
            <w:r>
              <w:rPr>
                <w:rFonts w:ascii="Arial" w:hAnsi="Arial" w:cs="Arial"/>
                <w:sz w:val="20"/>
                <w:szCs w:val="20"/>
              </w:rPr>
              <w:t>(0.00)</w:t>
            </w:r>
          </w:p>
        </w:tc>
      </w:tr>
      <w:tr w:rsidR="00AD74C8" w14:paraId="1DA1C62C" w14:textId="77777777" w:rsidTr="00AD74C8">
        <w:trPr>
          <w:jc w:val="center"/>
        </w:trPr>
        <w:tc>
          <w:tcPr>
            <w:tcW w:w="0" w:type="auto"/>
            <w:shd w:val="clear" w:color="auto" w:fill="auto"/>
            <w:vAlign w:val="center"/>
          </w:tcPr>
          <w:p w14:paraId="2FE3B540" w14:textId="32C0AA26" w:rsidR="00AD74C8" w:rsidRPr="005813FA" w:rsidRDefault="00AD74C8" w:rsidP="00AD74C8">
            <w:pPr>
              <w:keepNext/>
              <w:keepLines/>
              <w:jc w:val="center"/>
              <w:rPr>
                <w:rFonts w:ascii="Arial" w:hAnsi="Arial" w:cs="Arial"/>
                <w:sz w:val="20"/>
                <w:szCs w:val="20"/>
              </w:rPr>
            </w:pPr>
            <w:r w:rsidRPr="005813FA">
              <w:rPr>
                <w:rFonts w:ascii="Arial" w:hAnsi="Arial" w:cs="Arial"/>
                <w:sz w:val="20"/>
                <w:szCs w:val="20"/>
              </w:rPr>
              <w:t>20</w:t>
            </w:r>
          </w:p>
        </w:tc>
        <w:tc>
          <w:tcPr>
            <w:tcW w:w="0" w:type="auto"/>
            <w:shd w:val="clear" w:color="auto" w:fill="auto"/>
            <w:vAlign w:val="center"/>
          </w:tcPr>
          <w:p w14:paraId="79ADDA8E"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-0.026</w:t>
            </w:r>
          </w:p>
          <w:p w14:paraId="06C6A0C9" w14:textId="051D07D4" w:rsidR="00AD74C8" w:rsidRPr="005813FA" w:rsidRDefault="00AD74C8" w:rsidP="00AD74C8">
            <w:pPr>
              <w:jc w:val="center"/>
              <w:rPr>
                <w:rFonts w:ascii="Arial" w:hAnsi="Arial" w:cs="Arial"/>
                <w:sz w:val="20"/>
                <w:szCs w:val="20"/>
              </w:rPr>
            </w:pPr>
            <w:r w:rsidRPr="005813FA">
              <w:rPr>
                <w:rFonts w:ascii="Arial" w:hAnsi="Arial" w:cs="Arial"/>
                <w:sz w:val="20"/>
                <w:szCs w:val="20"/>
              </w:rPr>
              <w:t>(0.12)</w:t>
            </w:r>
          </w:p>
        </w:tc>
        <w:tc>
          <w:tcPr>
            <w:tcW w:w="0" w:type="auto"/>
            <w:shd w:val="clear" w:color="auto" w:fill="auto"/>
            <w:vAlign w:val="center"/>
          </w:tcPr>
          <w:p w14:paraId="1E8AC1C5" w14:textId="77777777" w:rsidR="00AD74C8" w:rsidRPr="005813FA" w:rsidRDefault="00AD74C8" w:rsidP="00AD74C8">
            <w:pPr>
              <w:jc w:val="center"/>
              <w:rPr>
                <w:rFonts w:ascii="Arial" w:hAnsi="Arial" w:cs="Arial"/>
                <w:sz w:val="20"/>
                <w:szCs w:val="20"/>
              </w:rPr>
            </w:pPr>
            <w:r w:rsidRPr="005813FA">
              <w:rPr>
                <w:rFonts w:ascii="Arial" w:hAnsi="Arial" w:cs="Arial"/>
                <w:sz w:val="20"/>
                <w:szCs w:val="20"/>
              </w:rPr>
              <w:t>-0.003</w:t>
            </w:r>
          </w:p>
          <w:p w14:paraId="286CC0A6" w14:textId="62047975" w:rsidR="00AD74C8" w:rsidRPr="005813FA" w:rsidRDefault="00AD74C8" w:rsidP="00AD74C8">
            <w:pPr>
              <w:jc w:val="center"/>
              <w:rPr>
                <w:rFonts w:ascii="Arial" w:hAnsi="Arial" w:cs="Arial"/>
                <w:sz w:val="20"/>
                <w:szCs w:val="20"/>
              </w:rPr>
            </w:pPr>
            <w:r w:rsidRPr="005813FA">
              <w:rPr>
                <w:rFonts w:ascii="Arial" w:hAnsi="Arial" w:cs="Arial"/>
                <w:sz w:val="20"/>
                <w:szCs w:val="20"/>
              </w:rPr>
              <w:t>(0.81)</w:t>
            </w:r>
          </w:p>
        </w:tc>
        <w:tc>
          <w:tcPr>
            <w:tcW w:w="0" w:type="auto"/>
            <w:shd w:val="clear" w:color="auto" w:fill="auto"/>
            <w:vAlign w:val="center"/>
          </w:tcPr>
          <w:p w14:paraId="526D21A8"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0.188</w:t>
            </w:r>
          </w:p>
          <w:p w14:paraId="6F2777F8" w14:textId="089D2945" w:rsidR="00AD74C8" w:rsidRPr="00AD74C8" w:rsidRDefault="00AD74C8" w:rsidP="00AD74C8">
            <w:pPr>
              <w:keepNext/>
              <w:keepLines/>
              <w:jc w:val="center"/>
              <w:rPr>
                <w:rFonts w:ascii="Arial" w:hAnsi="Arial" w:cs="Arial"/>
                <w:sz w:val="20"/>
                <w:szCs w:val="20"/>
              </w:rPr>
            </w:pPr>
            <w:r>
              <w:rPr>
                <w:rFonts w:ascii="Arial" w:hAnsi="Arial" w:cs="Arial"/>
                <w:sz w:val="20"/>
                <w:szCs w:val="20"/>
              </w:rPr>
              <w:t>(0.42)</w:t>
            </w:r>
          </w:p>
        </w:tc>
        <w:tc>
          <w:tcPr>
            <w:tcW w:w="0" w:type="auto"/>
            <w:vAlign w:val="center"/>
          </w:tcPr>
          <w:p w14:paraId="1A0BE94D" w14:textId="77777777" w:rsidR="00AD74C8" w:rsidRDefault="00AD74C8" w:rsidP="00AD74C8">
            <w:pPr>
              <w:keepNext/>
              <w:keepLines/>
              <w:jc w:val="center"/>
              <w:rPr>
                <w:rFonts w:ascii="Arial" w:hAnsi="Arial" w:cs="Arial"/>
                <w:sz w:val="20"/>
                <w:szCs w:val="20"/>
              </w:rPr>
            </w:pPr>
            <w:r w:rsidRPr="00AD74C8">
              <w:rPr>
                <w:rFonts w:ascii="Arial" w:hAnsi="Arial" w:cs="Arial"/>
                <w:sz w:val="20"/>
                <w:szCs w:val="20"/>
              </w:rPr>
              <w:t>-2.471</w:t>
            </w:r>
          </w:p>
          <w:p w14:paraId="583252DD" w14:textId="3484038F" w:rsidR="00AD74C8" w:rsidRPr="00AD74C8" w:rsidRDefault="00AD74C8" w:rsidP="00AD74C8">
            <w:pPr>
              <w:keepNext/>
              <w:keepLines/>
              <w:jc w:val="center"/>
              <w:rPr>
                <w:rFonts w:ascii="Arial" w:hAnsi="Arial" w:cs="Arial"/>
                <w:sz w:val="20"/>
                <w:szCs w:val="20"/>
              </w:rPr>
            </w:pPr>
            <w:r>
              <w:rPr>
                <w:rFonts w:ascii="Arial" w:hAnsi="Arial" w:cs="Arial"/>
                <w:sz w:val="20"/>
                <w:szCs w:val="20"/>
              </w:rPr>
              <w:t>(0.02)</w:t>
            </w:r>
          </w:p>
        </w:tc>
      </w:tr>
    </w:tbl>
    <w:p w14:paraId="623C5050" w14:textId="4C386E05" w:rsidR="007772B0" w:rsidRDefault="007772B0" w:rsidP="007772B0">
      <w:pPr>
        <w:pStyle w:val="Heading2"/>
      </w:pPr>
      <w:bookmarkStart w:id="347" w:name="_Toc314830419"/>
      <w:bookmarkStart w:id="348" w:name="_Toc415761864"/>
      <w:r>
        <w:t>A.2 Comparison of Predicted and Observed Loads on Event-like Days</w:t>
      </w:r>
      <w:bookmarkEnd w:id="348"/>
    </w:p>
    <w:p w14:paraId="3EE1EE18" w14:textId="77777777" w:rsidR="007772B0" w:rsidRDefault="007772B0" w:rsidP="007772B0">
      <w:r>
        <w:t>The model specification tests are based on the ability of the model to predict program load on event-like non-event days. Figures A.5 through A.8 illustrate the average predicted and observed loads across the event-like days. In each figure, the solid line represents the observed load and the dashed line represents the load predicted by the statistical model.</w:t>
      </w:r>
    </w:p>
    <w:p w14:paraId="7C77F12C" w14:textId="77777777" w:rsidR="007772B0" w:rsidRDefault="007772B0" w:rsidP="007772B0"/>
    <w:p w14:paraId="206C18C0" w14:textId="48A6DE4A" w:rsidR="007772B0" w:rsidRDefault="007772B0" w:rsidP="007772B0">
      <w:r w:rsidRPr="00372340">
        <w:t>Figure</w:t>
      </w:r>
      <w:r w:rsidR="00372340" w:rsidRPr="00372340">
        <w:t>s</w:t>
      </w:r>
      <w:r w:rsidRPr="00372340">
        <w:t xml:space="preserve"> A.5</w:t>
      </w:r>
      <w:r w:rsidR="00372340" w:rsidRPr="00372340">
        <w:t xml:space="preserve"> and A.6</w:t>
      </w:r>
      <w:r w:rsidRPr="00372340">
        <w:t xml:space="preserve"> show that the PG&amp;E</w:t>
      </w:r>
      <w:r w:rsidR="00372340" w:rsidRPr="00372340">
        <w:t xml:space="preserve"> and SCE</w:t>
      </w:r>
      <w:r w:rsidRPr="00372340">
        <w:t xml:space="preserve"> predicted loads are quite close to the observed loads for the event-like non-event days. Figure</w:t>
      </w:r>
      <w:r w:rsidR="00372340" w:rsidRPr="00372340">
        <w:t>s</w:t>
      </w:r>
      <w:r w:rsidRPr="00372340">
        <w:t xml:space="preserve"> A.7</w:t>
      </w:r>
      <w:r w:rsidR="00372340" w:rsidRPr="00372340">
        <w:t xml:space="preserve"> and </w:t>
      </w:r>
      <w:r w:rsidR="00AA6CD6">
        <w:t>A</w:t>
      </w:r>
      <w:r w:rsidR="00372340" w:rsidRPr="00372340">
        <w:t>.8</w:t>
      </w:r>
      <w:r w:rsidRPr="00372340">
        <w:t xml:space="preserve"> show that the SDG&amp;E predicted loads </w:t>
      </w:r>
      <w:r w:rsidR="00372340" w:rsidRPr="00372340">
        <w:t xml:space="preserve">have some notable deviations from the observed loads. </w:t>
      </w:r>
      <w:r w:rsidR="00AA6CD6">
        <w:t>The format for these figures differs from those of PG&amp;E and SCE, in that they show predicted and observed loads for each of the seven event-like days, along with the temperature conditions on those days (represented by CDDs). These show how observed load can fluctuate</w:t>
      </w:r>
      <w:r w:rsidR="00372340">
        <w:t xml:space="preserve"> </w:t>
      </w:r>
      <w:r w:rsidR="00AA6CD6">
        <w:t>in ways that aren’t always consistent with temperatures, and how the models do much better predicting observed loads on some days than others.</w:t>
      </w:r>
    </w:p>
    <w:p w14:paraId="1095A3D7" w14:textId="77777777" w:rsidR="007772B0" w:rsidRDefault="007772B0" w:rsidP="007772B0"/>
    <w:p w14:paraId="57BB1757" w14:textId="77777777" w:rsidR="007772B0" w:rsidRPr="00A73CCD" w:rsidRDefault="007772B0" w:rsidP="007772B0">
      <w:pPr>
        <w:pStyle w:val="FigureCaption"/>
        <w:keepNext/>
        <w:keepLines/>
      </w:pPr>
      <w:bookmarkStart w:id="349" w:name="_Toc415761936"/>
      <w:r>
        <w:lastRenderedPageBreak/>
        <w:t>Figure A</w:t>
      </w:r>
      <w:r w:rsidRPr="00A73CCD">
        <w:t xml:space="preserve">.5: Average Predicted and Observed Loads on Event-like Days, </w:t>
      </w:r>
      <w:r w:rsidRPr="00A73CCD">
        <w:rPr>
          <w:i/>
        </w:rPr>
        <w:t>PG&amp;E</w:t>
      </w:r>
      <w:bookmarkEnd w:id="349"/>
    </w:p>
    <w:p w14:paraId="3F7B5333" w14:textId="35E9C2A2" w:rsidR="007772B0" w:rsidRDefault="00D94E75" w:rsidP="007772B0">
      <w:pPr>
        <w:keepNext/>
        <w:keepLines/>
      </w:pPr>
      <w:r>
        <w:rPr>
          <w:noProof/>
        </w:rPr>
        <w:drawing>
          <wp:inline distT="0" distB="0" distL="0" distR="0" wp14:anchorId="63DC972B" wp14:editId="1CB8DE45">
            <wp:extent cx="5486400" cy="398145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933A942" w14:textId="77777777" w:rsidR="007772B0" w:rsidRDefault="007772B0" w:rsidP="007772B0"/>
    <w:p w14:paraId="4DF15218" w14:textId="77777777" w:rsidR="007772B0" w:rsidRDefault="007772B0" w:rsidP="007772B0"/>
    <w:p w14:paraId="3DE74C25" w14:textId="77777777" w:rsidR="007772B0" w:rsidRDefault="007772B0" w:rsidP="007772B0">
      <w:pPr>
        <w:pStyle w:val="FigureCaption"/>
        <w:keepNext/>
        <w:keepLines/>
      </w:pPr>
      <w:bookmarkStart w:id="350" w:name="_Toc415761937"/>
      <w:r w:rsidRPr="00A73CCD">
        <w:lastRenderedPageBreak/>
        <w:t xml:space="preserve">Figure </w:t>
      </w:r>
      <w:r>
        <w:t>A</w:t>
      </w:r>
      <w:r w:rsidRPr="00A73CCD">
        <w:t>.</w:t>
      </w:r>
      <w:r>
        <w:t>6</w:t>
      </w:r>
      <w:r w:rsidRPr="00A73CCD">
        <w:t xml:space="preserve">: Average Predicted and Observed Loads on Event-like Days, </w:t>
      </w:r>
      <w:r>
        <w:rPr>
          <w:i/>
        </w:rPr>
        <w:t>SCE</w:t>
      </w:r>
      <w:bookmarkEnd w:id="350"/>
    </w:p>
    <w:p w14:paraId="6D60F0B8" w14:textId="078498D9" w:rsidR="007772B0" w:rsidRDefault="00D94E75" w:rsidP="007772B0">
      <w:pPr>
        <w:keepNext/>
        <w:keepLines/>
      </w:pPr>
      <w:r>
        <w:rPr>
          <w:noProof/>
        </w:rPr>
        <w:drawing>
          <wp:inline distT="0" distB="0" distL="0" distR="0" wp14:anchorId="04E88332" wp14:editId="4107F5C9">
            <wp:extent cx="5486400" cy="3981450"/>
            <wp:effectExtent l="0" t="0" r="0"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AFFB569" w14:textId="77777777" w:rsidR="007772B0" w:rsidRDefault="007772B0" w:rsidP="007772B0"/>
    <w:p w14:paraId="7EDF4CA4" w14:textId="77777777" w:rsidR="007772B0" w:rsidRDefault="007772B0" w:rsidP="007772B0">
      <w:pPr>
        <w:pStyle w:val="FigureCaption"/>
        <w:keepNext/>
        <w:keepLines/>
      </w:pPr>
      <w:bookmarkStart w:id="351" w:name="_Toc415761938"/>
      <w:r w:rsidRPr="004F321F">
        <w:t xml:space="preserve">Figure A.7: Average Predicted and Observed Loads on Event-like Days, </w:t>
      </w:r>
      <w:r w:rsidRPr="004F321F">
        <w:rPr>
          <w:i/>
        </w:rPr>
        <w:t>SDG&amp;E DA</w:t>
      </w:r>
      <w:bookmarkEnd w:id="351"/>
    </w:p>
    <w:p w14:paraId="578C2511" w14:textId="1558F3FC" w:rsidR="007772B0" w:rsidRDefault="00D9673D" w:rsidP="00D9673D">
      <w:pPr>
        <w:keepNext/>
        <w:keepLines/>
        <w:jc w:val="center"/>
      </w:pPr>
      <w:r w:rsidRPr="005D4700">
        <w:t>These results have been removed due to confidentiality concerns.</w:t>
      </w:r>
    </w:p>
    <w:p w14:paraId="3676CFD3" w14:textId="77777777" w:rsidR="007772B0" w:rsidRDefault="007772B0" w:rsidP="007772B0"/>
    <w:p w14:paraId="070F928B" w14:textId="77777777" w:rsidR="007772B0" w:rsidRDefault="007772B0" w:rsidP="007772B0">
      <w:pPr>
        <w:pStyle w:val="FigureCaption"/>
        <w:keepNext/>
        <w:keepLines/>
      </w:pPr>
      <w:bookmarkStart w:id="352" w:name="_Toc415761939"/>
      <w:r w:rsidRPr="004F321F">
        <w:t xml:space="preserve">Figure A.8: Average Predicted and Observed Loads on Event-like Days, </w:t>
      </w:r>
      <w:r w:rsidRPr="004F321F">
        <w:rPr>
          <w:i/>
        </w:rPr>
        <w:t>SDG&amp;E DO</w:t>
      </w:r>
      <w:bookmarkEnd w:id="352"/>
    </w:p>
    <w:p w14:paraId="7B759D82" w14:textId="35649CB0" w:rsidR="007772B0" w:rsidRDefault="00D9673D" w:rsidP="00D9673D">
      <w:pPr>
        <w:keepNext/>
        <w:keepLines/>
        <w:jc w:val="center"/>
      </w:pPr>
      <w:r w:rsidRPr="005D4700">
        <w:t>These results have been removed due to confidentiality concerns.</w:t>
      </w:r>
    </w:p>
    <w:p w14:paraId="6A287B36" w14:textId="77777777" w:rsidR="007772B0" w:rsidRDefault="007772B0" w:rsidP="007772B0"/>
    <w:p w14:paraId="2E0BB18B" w14:textId="77777777" w:rsidR="007772B0" w:rsidRDefault="007772B0" w:rsidP="007772B0">
      <w:pPr>
        <w:pStyle w:val="Heading2"/>
      </w:pPr>
      <w:bookmarkStart w:id="353" w:name="_Toc415761865"/>
      <w:r>
        <w:t>A.3 Refinement of Customer-Level Models</w:t>
      </w:r>
      <w:bookmarkEnd w:id="347"/>
      <w:bookmarkEnd w:id="353"/>
    </w:p>
    <w:p w14:paraId="43C84DA0" w14:textId="47332A7F" w:rsidR="003A2B99" w:rsidRPr="00751406" w:rsidRDefault="007772B0" w:rsidP="007772B0">
      <w:r>
        <w:t xml:space="preserve">While the specification tests described in Section A.1 were conducted on aggregated load profiles for each utility, the </w:t>
      </w:r>
      <w:r w:rsidR="00933F01" w:rsidRPr="00933F01">
        <w:rPr>
          <w:i/>
        </w:rPr>
        <w:t>ex-post</w:t>
      </w:r>
      <w:r>
        <w:t xml:space="preserve"> load impacts are derived from the results of customer-level models. We examined the estimated load impacts from these models to determine whether any modifications to the estimates are required. We do this by comparing the observed hourly event-day loads to the observed loads from similar days to determine a "day matching" load impact that may be compared to the estimated load </w:t>
      </w:r>
      <w:r w:rsidRPr="00372340">
        <w:t>impacts. In this evaluation, we modif</w:t>
      </w:r>
      <w:r w:rsidR="00372340" w:rsidRPr="00372340">
        <w:t xml:space="preserve">ied one PG&amp;E </w:t>
      </w:r>
      <w:r w:rsidR="00933F01" w:rsidRPr="00933F01">
        <w:rPr>
          <w:i/>
        </w:rPr>
        <w:t>ex-post</w:t>
      </w:r>
      <w:r w:rsidR="00372340" w:rsidRPr="00372340">
        <w:t xml:space="preserve"> load impact. This customer had an underestimated load impact for the September 16 event day. It appeared that the customer responded to the September 15 event day and chose to maintain its low load level through the following event day. The inclusion of the morning load variable</w:t>
      </w:r>
      <w:r w:rsidRPr="00372340">
        <w:t xml:space="preserve"> </w:t>
      </w:r>
      <w:r w:rsidR="00372340">
        <w:t xml:space="preserve">reduces the implied reference load estimated in the regression models, reducing the </w:t>
      </w:r>
      <w:r w:rsidR="00372340">
        <w:lastRenderedPageBreak/>
        <w:t>load impact estimate. For this customer / event day, we replaced our regression estimate with the load impacts based on the 10-in-10 baseline methodology, which appeared to more correctly reflect the customer’s event-day behavior. We examined the rest of PG&amp;E’s load impacts to determine whether other customers remained at low load levels between consecutive event days, but could not find evidence that it occurred on other occasions.</w:t>
      </w:r>
    </w:p>
    <w:sectPr w:rsidR="003A2B99" w:rsidRPr="00751406" w:rsidSect="00A4025E">
      <w:footerReference w:type="default" r:id="rId3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3AEA1" w14:textId="77777777" w:rsidR="00C13D10" w:rsidRDefault="00C13D10">
      <w:r>
        <w:separator/>
      </w:r>
    </w:p>
  </w:endnote>
  <w:endnote w:type="continuationSeparator" w:id="0">
    <w:p w14:paraId="05106B72" w14:textId="77777777" w:rsidR="00C13D10" w:rsidRDefault="00C1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92F77" w14:textId="77777777" w:rsidR="00900799" w:rsidRDefault="00900799" w:rsidP="000B5A5D">
    <w:pPr>
      <w:pStyle w:val="FootnoteText"/>
      <w:framePr w:wrap="around" w:vAnchor="text" w:hAnchor="margin" w:xAlign="center" w:y="1"/>
      <w:rPr>
        <w:rStyle w:val="FootnoteReference"/>
      </w:rPr>
    </w:pPr>
    <w:r>
      <w:rPr>
        <w:rStyle w:val="FootnoteReference"/>
      </w:rPr>
      <w:fldChar w:fldCharType="begin"/>
    </w:r>
    <w:r>
      <w:rPr>
        <w:rStyle w:val="FootnoteReference"/>
      </w:rPr>
      <w:instrText xml:space="preserve">PAGE  </w:instrText>
    </w:r>
    <w:r>
      <w:rPr>
        <w:rStyle w:val="FootnoteReference"/>
      </w:rPr>
      <w:fldChar w:fldCharType="end"/>
    </w:r>
  </w:p>
  <w:p w14:paraId="6CEEAD03" w14:textId="77777777" w:rsidR="00900799" w:rsidRDefault="00900799">
    <w:pPr>
      <w:pStyle w:val="Footnote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5FBCE" w14:textId="77777777" w:rsidR="00900799" w:rsidRPr="003601DE" w:rsidRDefault="00900799" w:rsidP="003601DE">
    <w:pPr>
      <w:pStyle w:val="Footer"/>
      <w:rPr>
        <w:rFonts w:ascii="AvantGarde" w:hAnsi="AvantGarde"/>
        <w:sz w:val="20"/>
        <w:szCs w:val="20"/>
      </w:rPr>
    </w:pPr>
    <w:r w:rsidRPr="003601DE">
      <w:rPr>
        <w:rFonts w:ascii="AvantGarde" w:hAnsi="AvantGarde"/>
        <w:sz w:val="20"/>
        <w:szCs w:val="20"/>
      </w:rPr>
      <w:t>Christensen Associates Energy Consulting, LLC</w:t>
    </w:r>
  </w:p>
  <w:p w14:paraId="2C89ECD9" w14:textId="77777777" w:rsidR="00900799" w:rsidRPr="003C0234" w:rsidRDefault="00900799" w:rsidP="003601DE">
    <w:pPr>
      <w:pStyle w:val="Footer"/>
      <w:rPr>
        <w:rFonts w:ascii="AvantGarde" w:hAnsi="AvantGarde"/>
        <w:sz w:val="20"/>
        <w:szCs w:val="20"/>
      </w:rPr>
    </w:pPr>
    <w:smartTag w:uri="urn:schemas-microsoft-com:office:smarttags" w:element="Street">
      <w:smartTag w:uri="urn:schemas-microsoft-com:office:smarttags" w:element="address">
        <w:r w:rsidRPr="003C0234">
          <w:rPr>
            <w:rFonts w:ascii="AvantGarde" w:hAnsi="AvantGarde"/>
            <w:sz w:val="20"/>
            <w:szCs w:val="20"/>
          </w:rPr>
          <w:t>800 University Bay Drive, Suite 400</w:t>
        </w:r>
      </w:smartTag>
    </w:smartTag>
  </w:p>
  <w:p w14:paraId="42500099" w14:textId="77777777" w:rsidR="00900799" w:rsidRPr="003C0234" w:rsidRDefault="00900799" w:rsidP="003601DE">
    <w:pPr>
      <w:pStyle w:val="Footer"/>
      <w:rPr>
        <w:rFonts w:ascii="AvantGarde" w:hAnsi="AvantGarde"/>
        <w:sz w:val="20"/>
        <w:szCs w:val="20"/>
      </w:rPr>
    </w:pPr>
    <w:smartTag w:uri="urn:schemas-microsoft-com:office:smarttags" w:element="place">
      <w:smartTag w:uri="urn:schemas-microsoft-com:office:smarttags" w:element="City">
        <w:r>
          <w:rPr>
            <w:rFonts w:ascii="AvantGarde" w:hAnsi="AvantGarde"/>
            <w:sz w:val="20"/>
            <w:szCs w:val="20"/>
          </w:rPr>
          <w:t>Madison</w:t>
        </w:r>
      </w:smartTag>
      <w:r>
        <w:rPr>
          <w:rFonts w:ascii="AvantGarde" w:hAnsi="AvantGarde"/>
          <w:sz w:val="20"/>
          <w:szCs w:val="20"/>
        </w:rPr>
        <w:t xml:space="preserve">, </w:t>
      </w:r>
      <w:smartTag w:uri="urn:schemas-microsoft-com:office:smarttags" w:element="State">
        <w:r>
          <w:rPr>
            <w:rFonts w:ascii="AvantGarde" w:hAnsi="AvantGarde"/>
            <w:sz w:val="20"/>
            <w:szCs w:val="20"/>
          </w:rPr>
          <w:t>WI</w:t>
        </w:r>
      </w:smartTag>
      <w:r>
        <w:rPr>
          <w:rFonts w:ascii="AvantGarde" w:hAnsi="AvantGarde"/>
          <w:sz w:val="20"/>
          <w:szCs w:val="20"/>
        </w:rPr>
        <w:t xml:space="preserve">  </w:t>
      </w:r>
      <w:smartTag w:uri="urn:schemas-microsoft-com:office:smarttags" w:element="PostalCode">
        <w:r>
          <w:rPr>
            <w:rFonts w:ascii="AvantGarde" w:hAnsi="AvantGarde"/>
            <w:sz w:val="20"/>
            <w:szCs w:val="20"/>
          </w:rPr>
          <w:t>53705-2299</w:t>
        </w:r>
      </w:smartTag>
    </w:smartTag>
  </w:p>
  <w:p w14:paraId="1233B72A" w14:textId="77777777" w:rsidR="00900799" w:rsidRPr="003C0234" w:rsidRDefault="00900799" w:rsidP="003601DE">
    <w:pPr>
      <w:pStyle w:val="Footer"/>
      <w:rPr>
        <w:rFonts w:ascii="AvantGarde" w:hAnsi="AvantGarde"/>
        <w:sz w:val="20"/>
        <w:szCs w:val="20"/>
      </w:rPr>
    </w:pPr>
  </w:p>
  <w:p w14:paraId="650687F8" w14:textId="77777777" w:rsidR="00900799" w:rsidRPr="003601DE" w:rsidRDefault="00900799">
    <w:pPr>
      <w:pStyle w:val="Footer"/>
      <w:rPr>
        <w:rFonts w:ascii="AvantGarde" w:hAnsi="AvantGarde"/>
        <w:sz w:val="20"/>
        <w:szCs w:val="20"/>
      </w:rPr>
    </w:pPr>
    <w:r w:rsidRPr="003C0234">
      <w:rPr>
        <w:rFonts w:ascii="AvantGarde" w:hAnsi="AvantGarde"/>
        <w:sz w:val="20"/>
        <w:szCs w:val="20"/>
      </w:rPr>
      <w:t>Voice</w:t>
    </w:r>
    <w:r>
      <w:rPr>
        <w:rFonts w:ascii="AvantGarde" w:hAnsi="AvantGarde"/>
        <w:sz w:val="20"/>
        <w:szCs w:val="20"/>
      </w:rPr>
      <w:t xml:space="preserve"> 608.231.2266  Fax 608.231.2108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82D4A" w14:textId="77777777" w:rsidR="00900799" w:rsidRPr="00CF533D" w:rsidRDefault="00900799" w:rsidP="00CD37BE">
    <w:pPr>
      <w:pStyle w:val="Footer"/>
      <w:pBdr>
        <w:top w:val="single" w:sz="4" w:space="1" w:color="auto"/>
      </w:pBdr>
      <w:tabs>
        <w:tab w:val="clear" w:pos="8640"/>
        <w:tab w:val="right" w:pos="9360"/>
      </w:tabs>
    </w:pPr>
    <w:r>
      <w:tab/>
    </w:r>
    <w:r>
      <w:rPr>
        <w:rStyle w:val="FootnoteReference"/>
      </w:rPr>
      <w:fldChar w:fldCharType="begin"/>
    </w:r>
    <w:r>
      <w:rPr>
        <w:rStyle w:val="FootnoteReference"/>
      </w:rPr>
      <w:instrText xml:space="preserve"> PAGE </w:instrText>
    </w:r>
    <w:r>
      <w:rPr>
        <w:rStyle w:val="FootnoteReference"/>
      </w:rPr>
      <w:fldChar w:fldCharType="separate"/>
    </w:r>
    <w:r w:rsidR="001C37C9">
      <w:rPr>
        <w:rStyle w:val="FootnoteReference"/>
        <w:noProof/>
      </w:rPr>
      <w:t>iii</w:t>
    </w:r>
    <w:r>
      <w:rPr>
        <w:rStyle w:val="FootnoteReference"/>
      </w:rPr>
      <w:fldChar w:fldCharType="end"/>
    </w:r>
    <w:r>
      <w:tab/>
      <w:t>CA Energy Consulting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328D3" w14:textId="77777777" w:rsidR="00900799" w:rsidRPr="003D3D4C" w:rsidRDefault="00900799" w:rsidP="003D3D4C">
    <w:pPr>
      <w:pStyle w:val="Footer"/>
      <w:pBdr>
        <w:top w:val="single" w:sz="4" w:space="1" w:color="auto"/>
      </w:pBdr>
      <w:rPr>
        <w:i/>
      </w:rPr>
    </w:pPr>
    <w:r>
      <w:tab/>
    </w:r>
    <w:r>
      <w:rPr>
        <w:rStyle w:val="FootnoteReference"/>
        <w:vertAlign w:val="baseline"/>
      </w:rPr>
      <w:fldChar w:fldCharType="begin"/>
    </w:r>
    <w:r>
      <w:rPr>
        <w:rStyle w:val="FootnoteReference"/>
        <w:vertAlign w:val="baseline"/>
      </w:rPr>
      <w:instrText xml:space="preserve"> PAGE </w:instrText>
    </w:r>
    <w:r>
      <w:rPr>
        <w:rStyle w:val="FootnoteReference"/>
        <w:vertAlign w:val="baseline"/>
      </w:rPr>
      <w:fldChar w:fldCharType="separate"/>
    </w:r>
    <w:r w:rsidR="001C37C9">
      <w:rPr>
        <w:rStyle w:val="FootnoteReference"/>
        <w:noProof/>
        <w:vertAlign w:val="baseline"/>
      </w:rPr>
      <w:t>70</w:t>
    </w:r>
    <w:r>
      <w:rPr>
        <w:rStyle w:val="FootnoteReference"/>
        <w:vertAlign w:val="baseline"/>
      </w:rPr>
      <w:fldChar w:fldCharType="end"/>
    </w:r>
    <w:r>
      <w:rPr>
        <w:rStyle w:val="FootnoteReference"/>
        <w:vertAlign w:val="baseline"/>
      </w:rPr>
      <w:tab/>
    </w:r>
    <w:r w:rsidRPr="003D3D4C">
      <w:rPr>
        <w:rStyle w:val="FootnoteReference"/>
        <w:i/>
        <w:vertAlign w:val="baseline"/>
      </w:rPr>
      <w:t>CA Energy Consulting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2199A" w14:textId="77777777" w:rsidR="00C13D10" w:rsidRDefault="00C13D10">
      <w:r>
        <w:separator/>
      </w:r>
    </w:p>
  </w:footnote>
  <w:footnote w:type="continuationSeparator" w:id="0">
    <w:p w14:paraId="339F2B27" w14:textId="77777777" w:rsidR="00C13D10" w:rsidRDefault="00C13D10">
      <w:r>
        <w:continuationSeparator/>
      </w:r>
    </w:p>
  </w:footnote>
  <w:footnote w:id="1">
    <w:p w14:paraId="4B46D8BC" w14:textId="44C428CE" w:rsidR="00900799" w:rsidRPr="00CA1C67" w:rsidRDefault="00900799">
      <w:pPr>
        <w:pStyle w:val="FootnoteText"/>
        <w:rPr>
          <w:rFonts w:asciiTheme="minorHAnsi" w:hAnsiTheme="minorHAnsi"/>
        </w:rPr>
      </w:pPr>
      <w:r w:rsidRPr="00CA1C67">
        <w:rPr>
          <w:rStyle w:val="FootnoteReference"/>
          <w:rFonts w:asciiTheme="minorHAnsi" w:hAnsiTheme="minorHAnsi"/>
        </w:rPr>
        <w:footnoteRef/>
      </w:r>
      <w:r w:rsidRPr="00CA1C67">
        <w:rPr>
          <w:rFonts w:asciiTheme="minorHAnsi" w:hAnsiTheme="minorHAnsi"/>
        </w:rPr>
        <w:t xml:space="preserve"> Effective December 31, 2014, the DBP operational hours became 6:00 a.m. to 10:00 p.m. on weekdays, excluding holidays.</w:t>
      </w:r>
    </w:p>
  </w:footnote>
  <w:footnote w:id="2">
    <w:p w14:paraId="3102CDA0" w14:textId="77777777" w:rsidR="00900799" w:rsidRPr="00F34148" w:rsidRDefault="00900799" w:rsidP="008A3E42">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Local Capacity Area (or LCA) refers to a CAISO-designated load pocket or transmission constrained geographic area for which a utility is required to meet a Local Resource Adequacy capacity requirement.</w:t>
      </w:r>
      <w:r>
        <w:t xml:space="preserve"> </w:t>
      </w:r>
      <w:r w:rsidRPr="00F34148">
        <w:rPr>
          <w:rFonts w:ascii="Calibri" w:hAnsi="Calibri"/>
        </w:rPr>
        <w:t>There are currently seven LCAs within PG&amp;E’s service area, 3 in SCE’s service territory, and 1 representing SDG&amp;E’s entire service territory. In addition, PG&amp;E has many accounts that are not located within any specific LCA.</w:t>
      </w:r>
    </w:p>
  </w:footnote>
  <w:footnote w:id="3">
    <w:p w14:paraId="53973283" w14:textId="77777777" w:rsidR="00900799" w:rsidRPr="00893572" w:rsidRDefault="00900799">
      <w:pPr>
        <w:pStyle w:val="FootnoteText"/>
        <w:rPr>
          <w:rFonts w:asciiTheme="minorHAnsi" w:hAnsiTheme="minorHAnsi"/>
        </w:rPr>
      </w:pPr>
      <w:r w:rsidRPr="00893572">
        <w:rPr>
          <w:rStyle w:val="FootnoteReference"/>
          <w:rFonts w:asciiTheme="minorHAnsi" w:hAnsiTheme="minorHAnsi"/>
        </w:rPr>
        <w:footnoteRef/>
      </w:r>
      <w:r w:rsidRPr="00893572">
        <w:rPr>
          <w:rFonts w:asciiTheme="minorHAnsi" w:hAnsiTheme="minorHAnsi"/>
        </w:rPr>
        <w:t xml:space="preserve"> In Ordering Paragraph 10 of Decision 12-06-025, dated June 21, 2012, the California Public Utility Commission (CPUC or Commission) stated the following: Pacific Gas and Electric Company’s Aggregator Managed Program, Capacity Bidding Program and Demand Bidding Program shall be counted for Resource Adequacy in the 2013 Resource Adequacy compliance year. These programs must be locally dispatchable by May 1, 2013.</w:t>
      </w:r>
    </w:p>
  </w:footnote>
  <w:footnote w:id="4">
    <w:p w14:paraId="6A79BF0D" w14:textId="7ED835F2" w:rsidR="00900799" w:rsidRPr="00F34148" w:rsidRDefault="00900799">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"Enrollment" is defined as the average enrollment on event days during the 201</w:t>
      </w:r>
      <w:r>
        <w:rPr>
          <w:rFonts w:ascii="Calibri" w:hAnsi="Calibri"/>
        </w:rPr>
        <w:t>4</w:t>
      </w:r>
      <w:r w:rsidRPr="00F34148">
        <w:rPr>
          <w:rFonts w:ascii="Calibri" w:hAnsi="Calibri"/>
        </w:rPr>
        <w:t xml:space="preserve"> program year. This differs from the pre</w:t>
      </w:r>
      <w:r>
        <w:rPr>
          <w:rFonts w:ascii="Calibri" w:hAnsi="Calibri"/>
        </w:rPr>
        <w:t>-PY2012</w:t>
      </w:r>
      <w:r w:rsidRPr="00F34148">
        <w:rPr>
          <w:rFonts w:ascii="Calibri" w:hAnsi="Calibri"/>
        </w:rPr>
        <w:t xml:space="preserve"> load impact evaluation, in which we summarized the number of customers enrolled at any time during the program year. The change facilitates the summary of coincident demands (where the previous report summarized non-coincident demands) and improves consistency between the customer characteristics tables and the load impact summary tables.</w:t>
      </w:r>
    </w:p>
  </w:footnote>
  <w:footnote w:id="5">
    <w:p w14:paraId="5BA35267" w14:textId="77777777" w:rsidR="00900799" w:rsidRPr="00F34148" w:rsidRDefault="00900799" w:rsidP="008A3E42">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Customer-level demand (“Sum of Max MW” in the tables) is calculated as the coincident maximum demand averaged across event days, including the estimated load impacts (i.e., using the reference loads).</w:t>
      </w:r>
    </w:p>
  </w:footnote>
  <w:footnote w:id="6">
    <w:p w14:paraId="239D1CDA" w14:textId="77777777" w:rsidR="00900799" w:rsidRPr="00F34148" w:rsidRDefault="00900799" w:rsidP="007C28F4">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"Sum of Max MW" is defined as the sum of the event-day coincident peak demands across service accounts. The reported values include the estimated load impacts.</w:t>
      </w:r>
    </w:p>
  </w:footnote>
  <w:footnote w:id="7">
    <w:p w14:paraId="5D688C18" w14:textId="77777777" w:rsidR="00900799" w:rsidRPr="00F34148" w:rsidRDefault="00900799" w:rsidP="007C28F4">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"Ave. Max MW" is calculated as "Sum of Max MW" divided by the "# of Service Accounts."</w:t>
      </w:r>
    </w:p>
  </w:footnote>
  <w:footnote w:id="8">
    <w:p w14:paraId="0ED357B4" w14:textId="77777777" w:rsidR="00900799" w:rsidRPr="00F34148" w:rsidRDefault="00900799">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 of Enrolled Max MW” is calculated as “Avg. Hourly Bid MW” divided by the “Sum of Max MW” from Table 2.1.</w:t>
      </w:r>
    </w:p>
  </w:footnote>
  <w:footnote w:id="9">
    <w:p w14:paraId="5CD845D8" w14:textId="61DDC758" w:rsidR="00900799" w:rsidRPr="00F34148" w:rsidRDefault="00900799" w:rsidP="00BE6F16">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Including weekends and holidays would require the addition of variables to capture the fact that load levels and patterns on weekends and holidays can differ greatly from those of non-holiday weekdays. Because event days do not occur on weekends or holidays, the exclusion of these data does not affect the model’s ability to estimate </w:t>
      </w:r>
      <w:r w:rsidRPr="00933F01">
        <w:rPr>
          <w:rFonts w:ascii="Calibri" w:hAnsi="Calibri"/>
          <w:i/>
        </w:rPr>
        <w:t>ex-post</w:t>
      </w:r>
      <w:r w:rsidRPr="00F34148">
        <w:rPr>
          <w:rFonts w:ascii="Calibri" w:hAnsi="Calibri"/>
        </w:rPr>
        <w:t xml:space="preserve"> load impacts. </w:t>
      </w:r>
    </w:p>
  </w:footnote>
  <w:footnote w:id="10">
    <w:p w14:paraId="6FFC44CF" w14:textId="1CE62DC9" w:rsidR="00900799" w:rsidRPr="00F34148" w:rsidRDefault="00900799">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The summer pricing season is Ju</w:t>
      </w:r>
      <w:r>
        <w:rPr>
          <w:rFonts w:ascii="Calibri" w:hAnsi="Calibri"/>
        </w:rPr>
        <w:t>ne</w:t>
      </w:r>
      <w:r w:rsidRPr="00F34148">
        <w:rPr>
          <w:rFonts w:ascii="Calibri" w:hAnsi="Calibri"/>
        </w:rPr>
        <w:t xml:space="preserve"> through September for SCE, May through September for SDG&amp;E, and May through October for PG&amp;E.</w:t>
      </w:r>
    </w:p>
  </w:footnote>
  <w:footnote w:id="11">
    <w:p w14:paraId="4C451777" w14:textId="77777777" w:rsidR="00900799" w:rsidRPr="00BF4B9E" w:rsidRDefault="00900799" w:rsidP="000A44DF">
      <w:pPr>
        <w:pStyle w:val="FootnoteText"/>
        <w:rPr>
          <w:rFonts w:asciiTheme="minorHAnsi" w:hAnsiTheme="minorHAnsi"/>
        </w:rPr>
      </w:pPr>
      <w:r w:rsidRPr="00BF4B9E">
        <w:rPr>
          <w:rStyle w:val="FootnoteReference"/>
          <w:rFonts w:asciiTheme="minorHAnsi" w:hAnsiTheme="minorHAnsi"/>
        </w:rPr>
        <w:footnoteRef/>
      </w:r>
      <w:r w:rsidRPr="00BF4B9E">
        <w:rPr>
          <w:rFonts w:asciiTheme="minorHAnsi" w:hAnsiTheme="minorHAnsi"/>
        </w:rPr>
        <w:t xml:space="preserve"> The typical event day is based on the average across all DBP event days for SCE, but excludes the three locationally dispatched events for PG&amp;E. For SDG&amp;E, the typical event day is based on a single event day for each program (May 15, 2014 for DBP-DA and May 16, 2014 for DBP-DO).</w:t>
      </w:r>
    </w:p>
  </w:footnote>
  <w:footnote w:id="12">
    <w:p w14:paraId="35B9D971" w14:textId="77777777" w:rsidR="00900799" w:rsidRPr="00F34148" w:rsidRDefault="00900799" w:rsidP="008E1A83">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Heating degree hours (HDH) was defined as MAX[0, 50 – TMP], where TMP is the hourly temperature expressed in degrees Fahrenheit. Customer-specific HDH values are calculated using data from the most appropriate weather station.</w:t>
      </w:r>
    </w:p>
  </w:footnote>
  <w:footnote w:id="13">
    <w:p w14:paraId="72B81A57" w14:textId="177F0811" w:rsidR="00900799" w:rsidRPr="008E43CD" w:rsidRDefault="00900799">
      <w:pPr>
        <w:pStyle w:val="FootnoteText"/>
        <w:rPr>
          <w:rFonts w:asciiTheme="minorHAnsi" w:hAnsiTheme="minorHAnsi"/>
        </w:rPr>
      </w:pPr>
      <w:r w:rsidRPr="008E43CD">
        <w:rPr>
          <w:rStyle w:val="FootnoteReference"/>
          <w:rFonts w:asciiTheme="minorHAnsi" w:hAnsiTheme="minorHAnsi"/>
        </w:rPr>
        <w:footnoteRef/>
      </w:r>
      <w:r w:rsidRPr="008E43CD">
        <w:rPr>
          <w:rFonts w:asciiTheme="minorHAnsi" w:hAnsiTheme="minorHAnsi"/>
        </w:rPr>
        <w:t xml:space="preserve"> It appears that a number of service accounts (approximately 380) that had been identified for removal from DBP remained on the program</w:t>
      </w:r>
      <w:r>
        <w:rPr>
          <w:rFonts w:asciiTheme="minorHAnsi" w:hAnsiTheme="minorHAnsi"/>
        </w:rPr>
        <w:t>, which may explain the difference in enrollments across studies.</w:t>
      </w:r>
    </w:p>
  </w:footnote>
  <w:footnote w:id="14">
    <w:p w14:paraId="1C9CCA6A" w14:textId="42621CCB" w:rsidR="00900799" w:rsidRPr="00F12E8B" w:rsidRDefault="00900799">
      <w:pPr>
        <w:pStyle w:val="FootnoteText"/>
        <w:rPr>
          <w:rFonts w:asciiTheme="minorHAnsi" w:hAnsiTheme="minorHAnsi"/>
        </w:rPr>
      </w:pPr>
      <w:r w:rsidRPr="00F12E8B">
        <w:rPr>
          <w:rStyle w:val="FootnoteReference"/>
          <w:rFonts w:asciiTheme="minorHAnsi" w:hAnsiTheme="minorHAnsi"/>
        </w:rPr>
        <w:footnoteRef/>
      </w:r>
      <w:r w:rsidRPr="00F12E8B">
        <w:rPr>
          <w:rFonts w:asciiTheme="minorHAnsi" w:hAnsiTheme="minorHAnsi"/>
        </w:rPr>
        <w:t xml:space="preserve"> The reduction in percentage load impacts in PY2014 seems </w:t>
      </w:r>
      <w:r>
        <w:rPr>
          <w:rFonts w:asciiTheme="minorHAnsi" w:hAnsiTheme="minorHAnsi"/>
        </w:rPr>
        <w:t>to contradict</w:t>
      </w:r>
      <w:r w:rsidRPr="00F12E8B">
        <w:rPr>
          <w:rFonts w:asciiTheme="minorHAnsi" w:hAnsiTheme="minorHAnsi"/>
        </w:rPr>
        <w:t xml:space="preserve"> to Table 6.7, which summarizes the load impacts from all DBP customers in each year. The reduction in percentage load impacts in PY2014 is true for the SAIDs that remain in the program across the three program years, and removing the new large and responsive customer from consideration (which by itself increases the program-level percentage load impact).</w:t>
      </w:r>
    </w:p>
  </w:footnote>
  <w:footnote w:id="15">
    <w:p w14:paraId="7F25E197" w14:textId="77777777" w:rsidR="00900799" w:rsidRPr="007772B0" w:rsidRDefault="00900799"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THI = </w:t>
      </w:r>
      <w:r w:rsidRPr="007772B0">
        <w:rPr>
          <w:rFonts w:asciiTheme="minorHAnsi" w:hAnsiTheme="minorHAnsi"/>
          <w:i/>
        </w:rPr>
        <w:t>T</w:t>
      </w:r>
      <w:r w:rsidRPr="007772B0">
        <w:rPr>
          <w:rFonts w:asciiTheme="minorHAnsi" w:hAnsiTheme="minorHAnsi"/>
        </w:rPr>
        <w:t xml:space="preserve"> – 0.55 x (1 – </w:t>
      </w:r>
      <w:r w:rsidRPr="007772B0">
        <w:rPr>
          <w:rFonts w:asciiTheme="minorHAnsi" w:hAnsiTheme="minorHAnsi"/>
          <w:i/>
        </w:rPr>
        <w:t>HUM</w:t>
      </w:r>
      <w:r w:rsidRPr="007772B0">
        <w:rPr>
          <w:rFonts w:asciiTheme="minorHAnsi" w:hAnsiTheme="minorHAnsi"/>
        </w:rPr>
        <w:t>) x (</w:t>
      </w:r>
      <w:r w:rsidRPr="007772B0">
        <w:rPr>
          <w:rFonts w:asciiTheme="minorHAnsi" w:hAnsiTheme="minorHAnsi"/>
          <w:i/>
        </w:rPr>
        <w:t>T</w:t>
      </w:r>
      <w:r w:rsidRPr="007772B0">
        <w:rPr>
          <w:rFonts w:asciiTheme="minorHAnsi" w:hAnsiTheme="minorHAnsi"/>
        </w:rPr>
        <w:t xml:space="preserve"> – 58) if </w:t>
      </w:r>
      <w:r w:rsidRPr="007772B0">
        <w:rPr>
          <w:rFonts w:asciiTheme="minorHAnsi" w:hAnsiTheme="minorHAnsi"/>
          <w:i/>
        </w:rPr>
        <w:t>T</w:t>
      </w:r>
      <w:r w:rsidRPr="007772B0">
        <w:rPr>
          <w:rFonts w:asciiTheme="minorHAnsi" w:hAnsiTheme="minorHAnsi"/>
        </w:rPr>
        <w:t xml:space="preserve">&gt;=58 or THI = </w:t>
      </w:r>
      <w:r w:rsidRPr="007772B0">
        <w:rPr>
          <w:rFonts w:asciiTheme="minorHAnsi" w:hAnsiTheme="minorHAnsi"/>
          <w:i/>
        </w:rPr>
        <w:t>T</w:t>
      </w:r>
      <w:r w:rsidRPr="007772B0">
        <w:rPr>
          <w:rFonts w:asciiTheme="minorHAnsi" w:hAnsiTheme="minorHAnsi"/>
        </w:rPr>
        <w:t xml:space="preserve"> if </w:t>
      </w:r>
      <w:r w:rsidRPr="007772B0">
        <w:rPr>
          <w:rFonts w:asciiTheme="minorHAnsi" w:hAnsiTheme="minorHAnsi"/>
          <w:i/>
        </w:rPr>
        <w:t>T</w:t>
      </w:r>
      <w:r w:rsidRPr="007772B0">
        <w:rPr>
          <w:rFonts w:asciiTheme="minorHAnsi" w:hAnsiTheme="minorHAnsi"/>
        </w:rPr>
        <w:t xml:space="preserve">&lt;58, where </w:t>
      </w:r>
      <w:r w:rsidRPr="007772B0">
        <w:rPr>
          <w:rFonts w:asciiTheme="minorHAnsi" w:hAnsiTheme="minorHAnsi"/>
          <w:i/>
        </w:rPr>
        <w:t>T</w:t>
      </w:r>
      <w:r w:rsidRPr="007772B0">
        <w:rPr>
          <w:rFonts w:asciiTheme="minorHAnsi" w:hAnsiTheme="minorHAnsi"/>
        </w:rPr>
        <w:t xml:space="preserve"> = ambient dry-bulb temperature in degrees Fahrenheit and </w:t>
      </w:r>
      <w:r w:rsidRPr="007772B0">
        <w:rPr>
          <w:rFonts w:asciiTheme="minorHAnsi" w:hAnsiTheme="minorHAnsi"/>
          <w:i/>
        </w:rPr>
        <w:t>HUM</w:t>
      </w:r>
      <w:r w:rsidRPr="007772B0">
        <w:rPr>
          <w:rFonts w:asciiTheme="minorHAnsi" w:hAnsiTheme="minorHAnsi"/>
        </w:rPr>
        <w:t xml:space="preserve"> = relative humidity (where 10 percent is expressed as “0.10”).</w:t>
      </w:r>
    </w:p>
  </w:footnote>
  <w:footnote w:id="16">
    <w:p w14:paraId="6B4C5C7B" w14:textId="77777777" w:rsidR="00900799" w:rsidRPr="007772B0" w:rsidRDefault="00900799"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HI = </w:t>
      </w:r>
      <w:r w:rsidRPr="007772B0">
        <w:rPr>
          <w:rFonts w:asciiTheme="minorHAnsi" w:hAnsiTheme="minorHAnsi"/>
          <w:i/>
        </w:rPr>
        <w:t>c</w:t>
      </w:r>
      <w:r w:rsidRPr="007772B0">
        <w:rPr>
          <w:rFonts w:asciiTheme="minorHAnsi" w:hAnsiTheme="minorHAnsi"/>
          <w:vertAlign w:val="subscript"/>
        </w:rPr>
        <w:t>1</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2</w:t>
      </w:r>
      <w:r w:rsidRPr="007772B0">
        <w:rPr>
          <w:rFonts w:asciiTheme="minorHAnsi" w:hAnsiTheme="minorHAnsi"/>
          <w:i/>
        </w:rPr>
        <w:t>T</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3</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4</w:t>
      </w:r>
      <w:r w:rsidRPr="007772B0">
        <w:rPr>
          <w:rFonts w:asciiTheme="minorHAnsi" w:hAnsiTheme="minorHAnsi"/>
          <w:i/>
        </w:rPr>
        <w:t>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5</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6</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7</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8</w:t>
      </w:r>
      <w:r w:rsidRPr="007772B0">
        <w:rPr>
          <w:rFonts w:asciiTheme="minorHAnsi" w:hAnsiTheme="minorHAnsi"/>
          <w:i/>
        </w:rPr>
        <w:t>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9</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10</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11</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12</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13</w:t>
      </w:r>
      <w:r w:rsidRPr="007772B0">
        <w:rPr>
          <w:rFonts w:asciiTheme="minorHAnsi" w:hAnsiTheme="minorHAnsi"/>
          <w:i/>
        </w:rPr>
        <w:t>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14</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15</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16</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where </w:t>
      </w:r>
      <w:r w:rsidRPr="007772B0">
        <w:rPr>
          <w:rFonts w:asciiTheme="minorHAnsi" w:hAnsiTheme="minorHAnsi"/>
          <w:i/>
        </w:rPr>
        <w:t>T</w:t>
      </w:r>
      <w:r w:rsidRPr="007772B0">
        <w:rPr>
          <w:rFonts w:asciiTheme="minorHAnsi" w:hAnsiTheme="minorHAnsi"/>
        </w:rPr>
        <w:t xml:space="preserve"> = ambient dry-bulb temperature in degrees Fahrenheit and </w:t>
      </w:r>
      <w:r w:rsidRPr="007772B0">
        <w:rPr>
          <w:rFonts w:asciiTheme="minorHAnsi" w:hAnsiTheme="minorHAnsi"/>
          <w:i/>
        </w:rPr>
        <w:t>R</w:t>
      </w:r>
      <w:r w:rsidRPr="007772B0">
        <w:rPr>
          <w:rFonts w:asciiTheme="minorHAnsi" w:hAnsiTheme="minorHAnsi"/>
        </w:rPr>
        <w:t xml:space="preserve"> = relative humidity (where 10 percent is expressed as “10”). The values for the various </w:t>
      </w:r>
      <w:r w:rsidRPr="007772B0">
        <w:rPr>
          <w:rFonts w:asciiTheme="minorHAnsi" w:hAnsiTheme="minorHAnsi"/>
          <w:i/>
        </w:rPr>
        <w:t>c</w:t>
      </w:r>
      <w:r w:rsidRPr="007772B0">
        <w:rPr>
          <w:rFonts w:asciiTheme="minorHAnsi" w:hAnsiTheme="minorHAnsi"/>
        </w:rPr>
        <w:t xml:space="preserve">’s may be found here: </w:t>
      </w:r>
      <w:hyperlink r:id="rId1" w:history="1">
        <w:r w:rsidRPr="007772B0">
          <w:rPr>
            <w:rStyle w:val="Hyperlink"/>
            <w:rFonts w:asciiTheme="minorHAnsi" w:hAnsiTheme="minorHAnsi"/>
          </w:rPr>
          <w:t>http://en.wikipedia.org/wiki/Heat_index</w:t>
        </w:r>
      </w:hyperlink>
      <w:r w:rsidRPr="007772B0">
        <w:rPr>
          <w:rFonts w:asciiTheme="minorHAnsi" w:hAnsiTheme="minorHAnsi"/>
        </w:rPr>
        <w:t>.</w:t>
      </w:r>
    </w:p>
  </w:footnote>
  <w:footnote w:id="17">
    <w:p w14:paraId="6B84D9FC" w14:textId="77777777" w:rsidR="00900799" w:rsidRPr="007772B0" w:rsidRDefault="00900799"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Cooling degree hours (CDH) was defined as MAX[0, Temperature – Threshold], where Temperature is the hourly temperature in degrees Fahrenheit and Threshold is either 60 or 65 degrees Fahrenheit. Customer-specific CDH values are calculated using data from the most appropriate weather station.</w:t>
      </w:r>
    </w:p>
  </w:footnote>
  <w:footnote w:id="18">
    <w:p w14:paraId="62AB89C3" w14:textId="77777777" w:rsidR="00900799" w:rsidRPr="007772B0" w:rsidRDefault="00900799"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Cooling degree days (CDD) are defined as MAX[0, (Max Temp + Min Temp) / 2 – 60], where Max Temp is the daily maximum temperature in degrees Fahrenheit and Min Temp is the daily minimum temperature. Customer-specific CDD values are calculated using data from the most appropriate weather station.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A6D2D" w14:textId="77777777" w:rsidR="00900799" w:rsidRDefault="00900799">
    <w:pPr>
      <w:pStyle w:val="Header"/>
    </w:pPr>
    <w:r>
      <w:rPr>
        <w:noProof/>
      </w:rPr>
      <w:drawing>
        <wp:inline distT="0" distB="0" distL="0" distR="0" wp14:anchorId="6265FF2B" wp14:editId="7DFAFF04">
          <wp:extent cx="3267075" cy="1009650"/>
          <wp:effectExtent l="0" t="0" r="9525" b="0"/>
          <wp:docPr id="1" name="Picture 10" descr="CA Energy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 Energy Consulting"/>
                  <pic:cNvPicPr>
                    <a:picLocks noChangeAspect="1" noChangeArrowheads="1"/>
                  </pic:cNvPicPr>
                </pic:nvPicPr>
                <pic:blipFill>
                  <a:blip r:embed="rId1">
                    <a:extLst>
                      <a:ext uri="{28A0092B-C50C-407E-A947-70E740481C1C}">
                        <a14:useLocalDpi xmlns:a14="http://schemas.microsoft.com/office/drawing/2010/main" val="0"/>
                      </a:ext>
                    </a:extLst>
                  </a:blip>
                  <a:srcRect l="12318"/>
                  <a:stretch>
                    <a:fillRect/>
                  </a:stretch>
                </pic:blipFill>
                <pic:spPr bwMode="auto">
                  <a:xfrm>
                    <a:off x="0" y="0"/>
                    <a:ext cx="3267075" cy="10096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084B6" w14:textId="77777777" w:rsidR="00900799" w:rsidRDefault="009007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1335"/>
    <w:multiLevelType w:val="hybridMultilevel"/>
    <w:tmpl w:val="FD1834B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154202"/>
    <w:multiLevelType w:val="hybridMultilevel"/>
    <w:tmpl w:val="085E4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C868DA"/>
    <w:multiLevelType w:val="hybridMultilevel"/>
    <w:tmpl w:val="856A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934BEB"/>
    <w:multiLevelType w:val="hybridMultilevel"/>
    <w:tmpl w:val="5B124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00523B1"/>
    <w:multiLevelType w:val="hybridMultilevel"/>
    <w:tmpl w:val="3BAC8910"/>
    <w:lvl w:ilvl="0" w:tplc="77800714">
      <w:start w:val="1"/>
      <w:numFmt w:val="decimal"/>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E752C9"/>
    <w:multiLevelType w:val="hybridMultilevel"/>
    <w:tmpl w:val="7BCE21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71A7A8B"/>
    <w:multiLevelType w:val="hybridMultilevel"/>
    <w:tmpl w:val="BA049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8B2B9E"/>
    <w:multiLevelType w:val="hybridMultilevel"/>
    <w:tmpl w:val="0C7E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9036A5"/>
    <w:multiLevelType w:val="hybridMultilevel"/>
    <w:tmpl w:val="2220A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3030CA"/>
    <w:multiLevelType w:val="hybridMultilevel"/>
    <w:tmpl w:val="04FA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5A7E60"/>
    <w:multiLevelType w:val="hybridMultilevel"/>
    <w:tmpl w:val="0F1E4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8355E45"/>
    <w:multiLevelType w:val="hybridMultilevel"/>
    <w:tmpl w:val="9F143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EE14889"/>
    <w:multiLevelType w:val="hybridMultilevel"/>
    <w:tmpl w:val="75AE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11"/>
  </w:num>
  <w:num w:numId="5">
    <w:abstractNumId w:val="10"/>
  </w:num>
  <w:num w:numId="6">
    <w:abstractNumId w:val="0"/>
  </w:num>
  <w:num w:numId="7">
    <w:abstractNumId w:val="5"/>
  </w:num>
  <w:num w:numId="8">
    <w:abstractNumId w:val="2"/>
  </w:num>
  <w:num w:numId="9">
    <w:abstractNumId w:val="7"/>
  </w:num>
  <w:num w:numId="10">
    <w:abstractNumId w:val="9"/>
  </w:num>
  <w:num w:numId="11">
    <w:abstractNumId w:val="4"/>
  </w:num>
  <w:num w:numId="12">
    <w:abstractNumId w:val="6"/>
  </w:num>
  <w:num w:numId="1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152"/>
    <w:rsid w:val="000003F4"/>
    <w:rsid w:val="00000F64"/>
    <w:rsid w:val="00001114"/>
    <w:rsid w:val="0000114E"/>
    <w:rsid w:val="0000185B"/>
    <w:rsid w:val="000020F2"/>
    <w:rsid w:val="00002343"/>
    <w:rsid w:val="0000252B"/>
    <w:rsid w:val="00002762"/>
    <w:rsid w:val="0000300C"/>
    <w:rsid w:val="00003581"/>
    <w:rsid w:val="00003F3D"/>
    <w:rsid w:val="00005BFB"/>
    <w:rsid w:val="00006EAE"/>
    <w:rsid w:val="00010ABB"/>
    <w:rsid w:val="000126F6"/>
    <w:rsid w:val="00012890"/>
    <w:rsid w:val="00012EAE"/>
    <w:rsid w:val="00013CF1"/>
    <w:rsid w:val="00014276"/>
    <w:rsid w:val="0001546C"/>
    <w:rsid w:val="00015F7C"/>
    <w:rsid w:val="00016547"/>
    <w:rsid w:val="000166D4"/>
    <w:rsid w:val="00016871"/>
    <w:rsid w:val="0001729D"/>
    <w:rsid w:val="00017E85"/>
    <w:rsid w:val="00020A68"/>
    <w:rsid w:val="00020B08"/>
    <w:rsid w:val="00020B85"/>
    <w:rsid w:val="000228FB"/>
    <w:rsid w:val="000236E4"/>
    <w:rsid w:val="00023781"/>
    <w:rsid w:val="00023B81"/>
    <w:rsid w:val="000262AA"/>
    <w:rsid w:val="000266B6"/>
    <w:rsid w:val="00026948"/>
    <w:rsid w:val="00027555"/>
    <w:rsid w:val="0002766D"/>
    <w:rsid w:val="00027862"/>
    <w:rsid w:val="000278A7"/>
    <w:rsid w:val="00027D93"/>
    <w:rsid w:val="00030F74"/>
    <w:rsid w:val="0003244D"/>
    <w:rsid w:val="000334AA"/>
    <w:rsid w:val="00033523"/>
    <w:rsid w:val="00033B2D"/>
    <w:rsid w:val="00033BE8"/>
    <w:rsid w:val="00033EBC"/>
    <w:rsid w:val="00034D36"/>
    <w:rsid w:val="00036433"/>
    <w:rsid w:val="000367FE"/>
    <w:rsid w:val="00037539"/>
    <w:rsid w:val="00040B1B"/>
    <w:rsid w:val="00040CDD"/>
    <w:rsid w:val="00041055"/>
    <w:rsid w:val="00042286"/>
    <w:rsid w:val="00044F79"/>
    <w:rsid w:val="000452FA"/>
    <w:rsid w:val="0004679B"/>
    <w:rsid w:val="00047B5B"/>
    <w:rsid w:val="00050370"/>
    <w:rsid w:val="00050B8A"/>
    <w:rsid w:val="0005199B"/>
    <w:rsid w:val="00053AAD"/>
    <w:rsid w:val="00053DF3"/>
    <w:rsid w:val="00053E81"/>
    <w:rsid w:val="00054B50"/>
    <w:rsid w:val="00055160"/>
    <w:rsid w:val="0005535F"/>
    <w:rsid w:val="000564F2"/>
    <w:rsid w:val="00056855"/>
    <w:rsid w:val="00060B4B"/>
    <w:rsid w:val="00061320"/>
    <w:rsid w:val="00061547"/>
    <w:rsid w:val="00061C89"/>
    <w:rsid w:val="00061E03"/>
    <w:rsid w:val="00061FC5"/>
    <w:rsid w:val="00062D9B"/>
    <w:rsid w:val="0006471C"/>
    <w:rsid w:val="000651C0"/>
    <w:rsid w:val="000652FF"/>
    <w:rsid w:val="0006560A"/>
    <w:rsid w:val="00067329"/>
    <w:rsid w:val="000700BB"/>
    <w:rsid w:val="00070607"/>
    <w:rsid w:val="00070D46"/>
    <w:rsid w:val="00071339"/>
    <w:rsid w:val="00071849"/>
    <w:rsid w:val="0007241B"/>
    <w:rsid w:val="00072751"/>
    <w:rsid w:val="0007282E"/>
    <w:rsid w:val="00072937"/>
    <w:rsid w:val="00074828"/>
    <w:rsid w:val="000752DD"/>
    <w:rsid w:val="000758C4"/>
    <w:rsid w:val="0007646E"/>
    <w:rsid w:val="00076CA1"/>
    <w:rsid w:val="00077BB9"/>
    <w:rsid w:val="00080278"/>
    <w:rsid w:val="0008198D"/>
    <w:rsid w:val="00082E39"/>
    <w:rsid w:val="00083537"/>
    <w:rsid w:val="0008397B"/>
    <w:rsid w:val="00083A7E"/>
    <w:rsid w:val="00083F91"/>
    <w:rsid w:val="00084917"/>
    <w:rsid w:val="000854B4"/>
    <w:rsid w:val="00085A1E"/>
    <w:rsid w:val="00086C15"/>
    <w:rsid w:val="000871BA"/>
    <w:rsid w:val="000875F2"/>
    <w:rsid w:val="000877C4"/>
    <w:rsid w:val="00087B03"/>
    <w:rsid w:val="00090823"/>
    <w:rsid w:val="00092448"/>
    <w:rsid w:val="00094D5B"/>
    <w:rsid w:val="00094ED8"/>
    <w:rsid w:val="000953AB"/>
    <w:rsid w:val="000978C2"/>
    <w:rsid w:val="000A02D0"/>
    <w:rsid w:val="000A159F"/>
    <w:rsid w:val="000A1B9B"/>
    <w:rsid w:val="000A20E4"/>
    <w:rsid w:val="000A271C"/>
    <w:rsid w:val="000A2934"/>
    <w:rsid w:val="000A30CE"/>
    <w:rsid w:val="000A3F28"/>
    <w:rsid w:val="000A44DF"/>
    <w:rsid w:val="000A5415"/>
    <w:rsid w:val="000A5C9F"/>
    <w:rsid w:val="000A709E"/>
    <w:rsid w:val="000A774B"/>
    <w:rsid w:val="000B0A55"/>
    <w:rsid w:val="000B0C9B"/>
    <w:rsid w:val="000B246D"/>
    <w:rsid w:val="000B35D6"/>
    <w:rsid w:val="000B3C39"/>
    <w:rsid w:val="000B3E40"/>
    <w:rsid w:val="000B4FFE"/>
    <w:rsid w:val="000B5063"/>
    <w:rsid w:val="000B5311"/>
    <w:rsid w:val="000B5A5D"/>
    <w:rsid w:val="000B5F71"/>
    <w:rsid w:val="000C0049"/>
    <w:rsid w:val="000C0369"/>
    <w:rsid w:val="000C05A8"/>
    <w:rsid w:val="000C2DD5"/>
    <w:rsid w:val="000C3E81"/>
    <w:rsid w:val="000C4500"/>
    <w:rsid w:val="000C72E7"/>
    <w:rsid w:val="000C7BA3"/>
    <w:rsid w:val="000D0681"/>
    <w:rsid w:val="000D06FE"/>
    <w:rsid w:val="000D1BFC"/>
    <w:rsid w:val="000D1C75"/>
    <w:rsid w:val="000D3801"/>
    <w:rsid w:val="000D4772"/>
    <w:rsid w:val="000D4C10"/>
    <w:rsid w:val="000D65CE"/>
    <w:rsid w:val="000E113A"/>
    <w:rsid w:val="000E177C"/>
    <w:rsid w:val="000E20AC"/>
    <w:rsid w:val="000E211A"/>
    <w:rsid w:val="000E2230"/>
    <w:rsid w:val="000E22F3"/>
    <w:rsid w:val="000E3091"/>
    <w:rsid w:val="000E35C3"/>
    <w:rsid w:val="000E38E8"/>
    <w:rsid w:val="000E4A79"/>
    <w:rsid w:val="000E553B"/>
    <w:rsid w:val="000E5ADF"/>
    <w:rsid w:val="000E6034"/>
    <w:rsid w:val="000F1539"/>
    <w:rsid w:val="000F2EAB"/>
    <w:rsid w:val="000F2F8E"/>
    <w:rsid w:val="000F4111"/>
    <w:rsid w:val="000F5952"/>
    <w:rsid w:val="000F6635"/>
    <w:rsid w:val="000F694E"/>
    <w:rsid w:val="000F6E31"/>
    <w:rsid w:val="000F75A8"/>
    <w:rsid w:val="000F77A4"/>
    <w:rsid w:val="000F7C62"/>
    <w:rsid w:val="0010087B"/>
    <w:rsid w:val="00101116"/>
    <w:rsid w:val="0010166C"/>
    <w:rsid w:val="00101808"/>
    <w:rsid w:val="00103591"/>
    <w:rsid w:val="001047CE"/>
    <w:rsid w:val="001078BE"/>
    <w:rsid w:val="001101A4"/>
    <w:rsid w:val="00111784"/>
    <w:rsid w:val="001117C2"/>
    <w:rsid w:val="00111A6E"/>
    <w:rsid w:val="00111E69"/>
    <w:rsid w:val="00111FB1"/>
    <w:rsid w:val="00112F67"/>
    <w:rsid w:val="001140E5"/>
    <w:rsid w:val="00114823"/>
    <w:rsid w:val="0011560E"/>
    <w:rsid w:val="00116D31"/>
    <w:rsid w:val="00120F3A"/>
    <w:rsid w:val="00122B24"/>
    <w:rsid w:val="001249A4"/>
    <w:rsid w:val="00125195"/>
    <w:rsid w:val="001253E3"/>
    <w:rsid w:val="0012548E"/>
    <w:rsid w:val="00125A72"/>
    <w:rsid w:val="00127A10"/>
    <w:rsid w:val="00130284"/>
    <w:rsid w:val="00130EA2"/>
    <w:rsid w:val="00131108"/>
    <w:rsid w:val="00131131"/>
    <w:rsid w:val="00131574"/>
    <w:rsid w:val="00131683"/>
    <w:rsid w:val="0013181E"/>
    <w:rsid w:val="00131A27"/>
    <w:rsid w:val="00133091"/>
    <w:rsid w:val="00136593"/>
    <w:rsid w:val="001401B3"/>
    <w:rsid w:val="001408A6"/>
    <w:rsid w:val="00142887"/>
    <w:rsid w:val="00142E2B"/>
    <w:rsid w:val="00142FAC"/>
    <w:rsid w:val="00143366"/>
    <w:rsid w:val="0014645D"/>
    <w:rsid w:val="00146E50"/>
    <w:rsid w:val="00146FDB"/>
    <w:rsid w:val="00147350"/>
    <w:rsid w:val="001473A3"/>
    <w:rsid w:val="00147504"/>
    <w:rsid w:val="00151450"/>
    <w:rsid w:val="0015173F"/>
    <w:rsid w:val="00152B65"/>
    <w:rsid w:val="00152D63"/>
    <w:rsid w:val="00152F96"/>
    <w:rsid w:val="001530A9"/>
    <w:rsid w:val="001531FF"/>
    <w:rsid w:val="00153203"/>
    <w:rsid w:val="0015489E"/>
    <w:rsid w:val="00154C99"/>
    <w:rsid w:val="00154E17"/>
    <w:rsid w:val="001557DB"/>
    <w:rsid w:val="0015637E"/>
    <w:rsid w:val="0015715C"/>
    <w:rsid w:val="00161DAA"/>
    <w:rsid w:val="0016236F"/>
    <w:rsid w:val="001629ED"/>
    <w:rsid w:val="00162E24"/>
    <w:rsid w:val="0016376A"/>
    <w:rsid w:val="00163A47"/>
    <w:rsid w:val="0016489A"/>
    <w:rsid w:val="00165413"/>
    <w:rsid w:val="00166CD4"/>
    <w:rsid w:val="00166F7C"/>
    <w:rsid w:val="00167140"/>
    <w:rsid w:val="00167853"/>
    <w:rsid w:val="001709C4"/>
    <w:rsid w:val="001710A9"/>
    <w:rsid w:val="001718A7"/>
    <w:rsid w:val="001729A0"/>
    <w:rsid w:val="00173469"/>
    <w:rsid w:val="001744E6"/>
    <w:rsid w:val="001746CA"/>
    <w:rsid w:val="00174CFD"/>
    <w:rsid w:val="001750FE"/>
    <w:rsid w:val="001753F1"/>
    <w:rsid w:val="00175EEA"/>
    <w:rsid w:val="00175FA8"/>
    <w:rsid w:val="00176C49"/>
    <w:rsid w:val="001771A0"/>
    <w:rsid w:val="00180EC6"/>
    <w:rsid w:val="00181404"/>
    <w:rsid w:val="00182CD6"/>
    <w:rsid w:val="001832DE"/>
    <w:rsid w:val="00183BAE"/>
    <w:rsid w:val="00183C04"/>
    <w:rsid w:val="00184634"/>
    <w:rsid w:val="00185ED9"/>
    <w:rsid w:val="00186058"/>
    <w:rsid w:val="0018656A"/>
    <w:rsid w:val="00186A8C"/>
    <w:rsid w:val="00187C3A"/>
    <w:rsid w:val="00187D14"/>
    <w:rsid w:val="00190015"/>
    <w:rsid w:val="001903D2"/>
    <w:rsid w:val="00191E4D"/>
    <w:rsid w:val="00191EC6"/>
    <w:rsid w:val="0019201F"/>
    <w:rsid w:val="001921B3"/>
    <w:rsid w:val="00194793"/>
    <w:rsid w:val="00194B30"/>
    <w:rsid w:val="00194CA7"/>
    <w:rsid w:val="0019591D"/>
    <w:rsid w:val="00195A83"/>
    <w:rsid w:val="00197099"/>
    <w:rsid w:val="001A01E4"/>
    <w:rsid w:val="001A0377"/>
    <w:rsid w:val="001A04EA"/>
    <w:rsid w:val="001A0B8C"/>
    <w:rsid w:val="001A207D"/>
    <w:rsid w:val="001A21C5"/>
    <w:rsid w:val="001A32D8"/>
    <w:rsid w:val="001A4911"/>
    <w:rsid w:val="001A561F"/>
    <w:rsid w:val="001B32EE"/>
    <w:rsid w:val="001B48E7"/>
    <w:rsid w:val="001B4F37"/>
    <w:rsid w:val="001B53F1"/>
    <w:rsid w:val="001B5C74"/>
    <w:rsid w:val="001B611F"/>
    <w:rsid w:val="001B68E7"/>
    <w:rsid w:val="001B7BBB"/>
    <w:rsid w:val="001C0903"/>
    <w:rsid w:val="001C0C48"/>
    <w:rsid w:val="001C17B6"/>
    <w:rsid w:val="001C1F3A"/>
    <w:rsid w:val="001C3116"/>
    <w:rsid w:val="001C37C9"/>
    <w:rsid w:val="001C3AF5"/>
    <w:rsid w:val="001C3EDC"/>
    <w:rsid w:val="001C5048"/>
    <w:rsid w:val="001C63DA"/>
    <w:rsid w:val="001C66E9"/>
    <w:rsid w:val="001C6908"/>
    <w:rsid w:val="001C6A3B"/>
    <w:rsid w:val="001C74C8"/>
    <w:rsid w:val="001C75E0"/>
    <w:rsid w:val="001C7D45"/>
    <w:rsid w:val="001D0A56"/>
    <w:rsid w:val="001D0ABA"/>
    <w:rsid w:val="001D2423"/>
    <w:rsid w:val="001D29E0"/>
    <w:rsid w:val="001D29F7"/>
    <w:rsid w:val="001D2BA7"/>
    <w:rsid w:val="001D3348"/>
    <w:rsid w:val="001D3D48"/>
    <w:rsid w:val="001D4ED4"/>
    <w:rsid w:val="001D4F2E"/>
    <w:rsid w:val="001D5951"/>
    <w:rsid w:val="001D6450"/>
    <w:rsid w:val="001D6FA1"/>
    <w:rsid w:val="001E0054"/>
    <w:rsid w:val="001E060E"/>
    <w:rsid w:val="001E1B3C"/>
    <w:rsid w:val="001E1E8C"/>
    <w:rsid w:val="001E272B"/>
    <w:rsid w:val="001E2E50"/>
    <w:rsid w:val="001E312F"/>
    <w:rsid w:val="001E35CE"/>
    <w:rsid w:val="001E3C21"/>
    <w:rsid w:val="001E4A1D"/>
    <w:rsid w:val="001E535C"/>
    <w:rsid w:val="001E54C2"/>
    <w:rsid w:val="001E6247"/>
    <w:rsid w:val="001E75B6"/>
    <w:rsid w:val="001F00B0"/>
    <w:rsid w:val="001F0D7D"/>
    <w:rsid w:val="001F2F5D"/>
    <w:rsid w:val="001F334D"/>
    <w:rsid w:val="001F51A6"/>
    <w:rsid w:val="001F51BA"/>
    <w:rsid w:val="001F603C"/>
    <w:rsid w:val="001F625B"/>
    <w:rsid w:val="001F65E7"/>
    <w:rsid w:val="001F7B26"/>
    <w:rsid w:val="0020029B"/>
    <w:rsid w:val="002006D5"/>
    <w:rsid w:val="00200840"/>
    <w:rsid w:val="0020484C"/>
    <w:rsid w:val="00204881"/>
    <w:rsid w:val="0020493B"/>
    <w:rsid w:val="00205D5C"/>
    <w:rsid w:val="0020601E"/>
    <w:rsid w:val="002069A9"/>
    <w:rsid w:val="00207080"/>
    <w:rsid w:val="002070F1"/>
    <w:rsid w:val="00207799"/>
    <w:rsid w:val="002106E1"/>
    <w:rsid w:val="002114B4"/>
    <w:rsid w:val="00211FB2"/>
    <w:rsid w:val="00213223"/>
    <w:rsid w:val="00213D89"/>
    <w:rsid w:val="00214534"/>
    <w:rsid w:val="002149D8"/>
    <w:rsid w:val="00215EC1"/>
    <w:rsid w:val="002177EE"/>
    <w:rsid w:val="00217EF8"/>
    <w:rsid w:val="00220128"/>
    <w:rsid w:val="002211F2"/>
    <w:rsid w:val="002234C5"/>
    <w:rsid w:val="002238F6"/>
    <w:rsid w:val="002242DC"/>
    <w:rsid w:val="00225179"/>
    <w:rsid w:val="00225C2F"/>
    <w:rsid w:val="00226605"/>
    <w:rsid w:val="002272E1"/>
    <w:rsid w:val="00231284"/>
    <w:rsid w:val="00231E46"/>
    <w:rsid w:val="00232B2B"/>
    <w:rsid w:val="00233748"/>
    <w:rsid w:val="00233D04"/>
    <w:rsid w:val="00234324"/>
    <w:rsid w:val="0023436F"/>
    <w:rsid w:val="002345EA"/>
    <w:rsid w:val="00234E9F"/>
    <w:rsid w:val="0023506A"/>
    <w:rsid w:val="0023640D"/>
    <w:rsid w:val="002366EC"/>
    <w:rsid w:val="002367AB"/>
    <w:rsid w:val="0023754E"/>
    <w:rsid w:val="00241599"/>
    <w:rsid w:val="002423D3"/>
    <w:rsid w:val="00242996"/>
    <w:rsid w:val="0024365E"/>
    <w:rsid w:val="002459F5"/>
    <w:rsid w:val="0024612B"/>
    <w:rsid w:val="002463DB"/>
    <w:rsid w:val="002475D9"/>
    <w:rsid w:val="00247C06"/>
    <w:rsid w:val="0025105F"/>
    <w:rsid w:val="00252015"/>
    <w:rsid w:val="0025275F"/>
    <w:rsid w:val="00252BB0"/>
    <w:rsid w:val="0025350D"/>
    <w:rsid w:val="0025461A"/>
    <w:rsid w:val="00254E79"/>
    <w:rsid w:val="00255626"/>
    <w:rsid w:val="00255FA2"/>
    <w:rsid w:val="0025748C"/>
    <w:rsid w:val="00257B5A"/>
    <w:rsid w:val="00260150"/>
    <w:rsid w:val="00260BC0"/>
    <w:rsid w:val="00261AB5"/>
    <w:rsid w:val="00261E0A"/>
    <w:rsid w:val="00261EBC"/>
    <w:rsid w:val="00262D55"/>
    <w:rsid w:val="00262E23"/>
    <w:rsid w:val="0026316C"/>
    <w:rsid w:val="002645C6"/>
    <w:rsid w:val="00264A3C"/>
    <w:rsid w:val="00264B54"/>
    <w:rsid w:val="002657A9"/>
    <w:rsid w:val="00265B5B"/>
    <w:rsid w:val="00265B9F"/>
    <w:rsid w:val="002664B4"/>
    <w:rsid w:val="0026715F"/>
    <w:rsid w:val="0026739A"/>
    <w:rsid w:val="0026770D"/>
    <w:rsid w:val="00267CEA"/>
    <w:rsid w:val="00271F06"/>
    <w:rsid w:val="002754FD"/>
    <w:rsid w:val="0027601F"/>
    <w:rsid w:val="002760E7"/>
    <w:rsid w:val="002761E9"/>
    <w:rsid w:val="002767BD"/>
    <w:rsid w:val="00277061"/>
    <w:rsid w:val="0027718A"/>
    <w:rsid w:val="00277675"/>
    <w:rsid w:val="00283592"/>
    <w:rsid w:val="00285AB1"/>
    <w:rsid w:val="00286570"/>
    <w:rsid w:val="00286B5E"/>
    <w:rsid w:val="002870B7"/>
    <w:rsid w:val="0028741C"/>
    <w:rsid w:val="0029004A"/>
    <w:rsid w:val="00290B5F"/>
    <w:rsid w:val="00290B6A"/>
    <w:rsid w:val="00290F08"/>
    <w:rsid w:val="0029118D"/>
    <w:rsid w:val="00291D0E"/>
    <w:rsid w:val="002921BB"/>
    <w:rsid w:val="0029259B"/>
    <w:rsid w:val="00292772"/>
    <w:rsid w:val="00292968"/>
    <w:rsid w:val="00292F35"/>
    <w:rsid w:val="00294F97"/>
    <w:rsid w:val="002955B5"/>
    <w:rsid w:val="00295E9B"/>
    <w:rsid w:val="00296733"/>
    <w:rsid w:val="00297B1B"/>
    <w:rsid w:val="00297F25"/>
    <w:rsid w:val="002A07A9"/>
    <w:rsid w:val="002A17C1"/>
    <w:rsid w:val="002A2AF0"/>
    <w:rsid w:val="002A2FD4"/>
    <w:rsid w:val="002A4A62"/>
    <w:rsid w:val="002A69BC"/>
    <w:rsid w:val="002A6ECF"/>
    <w:rsid w:val="002A7556"/>
    <w:rsid w:val="002B0174"/>
    <w:rsid w:val="002B0E14"/>
    <w:rsid w:val="002B153C"/>
    <w:rsid w:val="002B25B5"/>
    <w:rsid w:val="002B3A3B"/>
    <w:rsid w:val="002B724E"/>
    <w:rsid w:val="002B74D3"/>
    <w:rsid w:val="002C1B6B"/>
    <w:rsid w:val="002C1E33"/>
    <w:rsid w:val="002C259A"/>
    <w:rsid w:val="002C2664"/>
    <w:rsid w:val="002C2984"/>
    <w:rsid w:val="002C2B44"/>
    <w:rsid w:val="002C2B90"/>
    <w:rsid w:val="002C2FB2"/>
    <w:rsid w:val="002C31CE"/>
    <w:rsid w:val="002C3B3B"/>
    <w:rsid w:val="002C417F"/>
    <w:rsid w:val="002C48D8"/>
    <w:rsid w:val="002C51D7"/>
    <w:rsid w:val="002C599C"/>
    <w:rsid w:val="002C5FCB"/>
    <w:rsid w:val="002C6B1B"/>
    <w:rsid w:val="002C760E"/>
    <w:rsid w:val="002C7F8A"/>
    <w:rsid w:val="002D0A81"/>
    <w:rsid w:val="002D2A36"/>
    <w:rsid w:val="002D2FD9"/>
    <w:rsid w:val="002D3035"/>
    <w:rsid w:val="002D3452"/>
    <w:rsid w:val="002D39E4"/>
    <w:rsid w:val="002D50DA"/>
    <w:rsid w:val="002D5672"/>
    <w:rsid w:val="002D66CA"/>
    <w:rsid w:val="002D7DBB"/>
    <w:rsid w:val="002E0161"/>
    <w:rsid w:val="002E1733"/>
    <w:rsid w:val="002E2F5A"/>
    <w:rsid w:val="002E3452"/>
    <w:rsid w:val="002E37CC"/>
    <w:rsid w:val="002E38E6"/>
    <w:rsid w:val="002E44A1"/>
    <w:rsid w:val="002E5323"/>
    <w:rsid w:val="002E5431"/>
    <w:rsid w:val="002E6021"/>
    <w:rsid w:val="002F0762"/>
    <w:rsid w:val="002F0EE6"/>
    <w:rsid w:val="002F16B5"/>
    <w:rsid w:val="002F1A73"/>
    <w:rsid w:val="002F29FA"/>
    <w:rsid w:val="002F3349"/>
    <w:rsid w:val="002F4B17"/>
    <w:rsid w:val="002F58C0"/>
    <w:rsid w:val="002F5CE4"/>
    <w:rsid w:val="002F62E4"/>
    <w:rsid w:val="002F6A10"/>
    <w:rsid w:val="002F744C"/>
    <w:rsid w:val="002F7583"/>
    <w:rsid w:val="0030162C"/>
    <w:rsid w:val="00302E41"/>
    <w:rsid w:val="003031D1"/>
    <w:rsid w:val="003037F1"/>
    <w:rsid w:val="00303891"/>
    <w:rsid w:val="0030549A"/>
    <w:rsid w:val="0030595A"/>
    <w:rsid w:val="00306499"/>
    <w:rsid w:val="00306976"/>
    <w:rsid w:val="003077A1"/>
    <w:rsid w:val="00307FDD"/>
    <w:rsid w:val="00311267"/>
    <w:rsid w:val="00312499"/>
    <w:rsid w:val="003126A4"/>
    <w:rsid w:val="003127BD"/>
    <w:rsid w:val="00313AAF"/>
    <w:rsid w:val="0031484F"/>
    <w:rsid w:val="00315582"/>
    <w:rsid w:val="00315762"/>
    <w:rsid w:val="00315F13"/>
    <w:rsid w:val="0031778A"/>
    <w:rsid w:val="00317EA6"/>
    <w:rsid w:val="0032096C"/>
    <w:rsid w:val="00321E09"/>
    <w:rsid w:val="00322173"/>
    <w:rsid w:val="00322DFF"/>
    <w:rsid w:val="00323E2C"/>
    <w:rsid w:val="003257F7"/>
    <w:rsid w:val="00326344"/>
    <w:rsid w:val="00327240"/>
    <w:rsid w:val="00327A22"/>
    <w:rsid w:val="00327B12"/>
    <w:rsid w:val="003324B3"/>
    <w:rsid w:val="00332D79"/>
    <w:rsid w:val="00333282"/>
    <w:rsid w:val="00333379"/>
    <w:rsid w:val="00334A94"/>
    <w:rsid w:val="003353D9"/>
    <w:rsid w:val="00335C46"/>
    <w:rsid w:val="003403C0"/>
    <w:rsid w:val="00340989"/>
    <w:rsid w:val="003436A8"/>
    <w:rsid w:val="00343ACC"/>
    <w:rsid w:val="00343E08"/>
    <w:rsid w:val="0034461D"/>
    <w:rsid w:val="003447FB"/>
    <w:rsid w:val="00346DF7"/>
    <w:rsid w:val="00346E79"/>
    <w:rsid w:val="00347DA7"/>
    <w:rsid w:val="00347EF7"/>
    <w:rsid w:val="0035050B"/>
    <w:rsid w:val="0035077D"/>
    <w:rsid w:val="00351B11"/>
    <w:rsid w:val="00354AD4"/>
    <w:rsid w:val="0035606C"/>
    <w:rsid w:val="00357044"/>
    <w:rsid w:val="003576B2"/>
    <w:rsid w:val="003601DE"/>
    <w:rsid w:val="0036048B"/>
    <w:rsid w:val="00361B4B"/>
    <w:rsid w:val="00361CA8"/>
    <w:rsid w:val="0036226C"/>
    <w:rsid w:val="00362870"/>
    <w:rsid w:val="00363778"/>
    <w:rsid w:val="00363887"/>
    <w:rsid w:val="00363B84"/>
    <w:rsid w:val="00364BF7"/>
    <w:rsid w:val="00365214"/>
    <w:rsid w:val="00365B1F"/>
    <w:rsid w:val="00365BBA"/>
    <w:rsid w:val="00365CF2"/>
    <w:rsid w:val="00366591"/>
    <w:rsid w:val="003706B0"/>
    <w:rsid w:val="00370C78"/>
    <w:rsid w:val="003722B3"/>
    <w:rsid w:val="00372340"/>
    <w:rsid w:val="0037380B"/>
    <w:rsid w:val="00373E7C"/>
    <w:rsid w:val="00374398"/>
    <w:rsid w:val="00374900"/>
    <w:rsid w:val="00374B92"/>
    <w:rsid w:val="00374BF6"/>
    <w:rsid w:val="0037665A"/>
    <w:rsid w:val="00376A41"/>
    <w:rsid w:val="00376F46"/>
    <w:rsid w:val="00377DF7"/>
    <w:rsid w:val="00380730"/>
    <w:rsid w:val="00383F4F"/>
    <w:rsid w:val="00384084"/>
    <w:rsid w:val="00384698"/>
    <w:rsid w:val="00384EC2"/>
    <w:rsid w:val="00385A50"/>
    <w:rsid w:val="00386440"/>
    <w:rsid w:val="0038682C"/>
    <w:rsid w:val="00390205"/>
    <w:rsid w:val="00391C6E"/>
    <w:rsid w:val="00392955"/>
    <w:rsid w:val="0039374C"/>
    <w:rsid w:val="0039387E"/>
    <w:rsid w:val="003941A4"/>
    <w:rsid w:val="0039454F"/>
    <w:rsid w:val="00394DEA"/>
    <w:rsid w:val="00396230"/>
    <w:rsid w:val="00397023"/>
    <w:rsid w:val="003A21B0"/>
    <w:rsid w:val="003A2B99"/>
    <w:rsid w:val="003A3AC6"/>
    <w:rsid w:val="003A42D6"/>
    <w:rsid w:val="003A56B2"/>
    <w:rsid w:val="003A6203"/>
    <w:rsid w:val="003A6A99"/>
    <w:rsid w:val="003A76AD"/>
    <w:rsid w:val="003A7F7E"/>
    <w:rsid w:val="003B0C84"/>
    <w:rsid w:val="003B360A"/>
    <w:rsid w:val="003B45BC"/>
    <w:rsid w:val="003B6BE9"/>
    <w:rsid w:val="003B739B"/>
    <w:rsid w:val="003B7602"/>
    <w:rsid w:val="003B7A38"/>
    <w:rsid w:val="003C0234"/>
    <w:rsid w:val="003C1088"/>
    <w:rsid w:val="003C23C9"/>
    <w:rsid w:val="003C262F"/>
    <w:rsid w:val="003C30AC"/>
    <w:rsid w:val="003C4BC1"/>
    <w:rsid w:val="003C4CC8"/>
    <w:rsid w:val="003C5070"/>
    <w:rsid w:val="003C65DA"/>
    <w:rsid w:val="003C675C"/>
    <w:rsid w:val="003C6CBB"/>
    <w:rsid w:val="003C78C4"/>
    <w:rsid w:val="003C79CA"/>
    <w:rsid w:val="003D0014"/>
    <w:rsid w:val="003D04C5"/>
    <w:rsid w:val="003D063B"/>
    <w:rsid w:val="003D071A"/>
    <w:rsid w:val="003D0BEA"/>
    <w:rsid w:val="003D1FFD"/>
    <w:rsid w:val="003D27AE"/>
    <w:rsid w:val="003D2DE7"/>
    <w:rsid w:val="003D2FF8"/>
    <w:rsid w:val="003D35F9"/>
    <w:rsid w:val="003D365D"/>
    <w:rsid w:val="003D36CB"/>
    <w:rsid w:val="003D3BE0"/>
    <w:rsid w:val="003D3D4C"/>
    <w:rsid w:val="003D41E1"/>
    <w:rsid w:val="003D4E7C"/>
    <w:rsid w:val="003E0BC0"/>
    <w:rsid w:val="003E1414"/>
    <w:rsid w:val="003E1856"/>
    <w:rsid w:val="003E2934"/>
    <w:rsid w:val="003E36F9"/>
    <w:rsid w:val="003E4188"/>
    <w:rsid w:val="003E430D"/>
    <w:rsid w:val="003E485E"/>
    <w:rsid w:val="003E4D82"/>
    <w:rsid w:val="003E5A7D"/>
    <w:rsid w:val="003E6C40"/>
    <w:rsid w:val="003F2391"/>
    <w:rsid w:val="003F35EC"/>
    <w:rsid w:val="003F442E"/>
    <w:rsid w:val="003F4DA0"/>
    <w:rsid w:val="003F5A8F"/>
    <w:rsid w:val="003F5B71"/>
    <w:rsid w:val="00400A19"/>
    <w:rsid w:val="004019D0"/>
    <w:rsid w:val="00403824"/>
    <w:rsid w:val="004043B2"/>
    <w:rsid w:val="00404DEF"/>
    <w:rsid w:val="00405802"/>
    <w:rsid w:val="004073ED"/>
    <w:rsid w:val="004073F7"/>
    <w:rsid w:val="00407E74"/>
    <w:rsid w:val="00410A9A"/>
    <w:rsid w:val="00411FC1"/>
    <w:rsid w:val="00412D1E"/>
    <w:rsid w:val="004138E1"/>
    <w:rsid w:val="0041396A"/>
    <w:rsid w:val="00413FAA"/>
    <w:rsid w:val="00414097"/>
    <w:rsid w:val="00414515"/>
    <w:rsid w:val="00414B31"/>
    <w:rsid w:val="00415857"/>
    <w:rsid w:val="00415B48"/>
    <w:rsid w:val="00416098"/>
    <w:rsid w:val="00417387"/>
    <w:rsid w:val="004215B8"/>
    <w:rsid w:val="00421999"/>
    <w:rsid w:val="00421E09"/>
    <w:rsid w:val="00423754"/>
    <w:rsid w:val="0042428D"/>
    <w:rsid w:val="004251A8"/>
    <w:rsid w:val="00426B4D"/>
    <w:rsid w:val="0042776C"/>
    <w:rsid w:val="00427C68"/>
    <w:rsid w:val="00430E9F"/>
    <w:rsid w:val="004318D4"/>
    <w:rsid w:val="004319C2"/>
    <w:rsid w:val="004327B6"/>
    <w:rsid w:val="004332F3"/>
    <w:rsid w:val="00433724"/>
    <w:rsid w:val="00433EA6"/>
    <w:rsid w:val="004353B5"/>
    <w:rsid w:val="00435763"/>
    <w:rsid w:val="00437D06"/>
    <w:rsid w:val="00440A18"/>
    <w:rsid w:val="00440DAD"/>
    <w:rsid w:val="00440EA5"/>
    <w:rsid w:val="00441052"/>
    <w:rsid w:val="0044242D"/>
    <w:rsid w:val="00443127"/>
    <w:rsid w:val="00443EE0"/>
    <w:rsid w:val="0044448B"/>
    <w:rsid w:val="004449F7"/>
    <w:rsid w:val="00444B32"/>
    <w:rsid w:val="00444F7D"/>
    <w:rsid w:val="00450B62"/>
    <w:rsid w:val="00453579"/>
    <w:rsid w:val="00454234"/>
    <w:rsid w:val="004553C8"/>
    <w:rsid w:val="004557DD"/>
    <w:rsid w:val="0045626B"/>
    <w:rsid w:val="004563B0"/>
    <w:rsid w:val="0045649E"/>
    <w:rsid w:val="00456884"/>
    <w:rsid w:val="004569F7"/>
    <w:rsid w:val="0045763F"/>
    <w:rsid w:val="004577D2"/>
    <w:rsid w:val="00461295"/>
    <w:rsid w:val="00461302"/>
    <w:rsid w:val="00461403"/>
    <w:rsid w:val="00461CD8"/>
    <w:rsid w:val="00463DCB"/>
    <w:rsid w:val="00465F49"/>
    <w:rsid w:val="00467A70"/>
    <w:rsid w:val="00467BD7"/>
    <w:rsid w:val="00467C13"/>
    <w:rsid w:val="00467FA8"/>
    <w:rsid w:val="00470F93"/>
    <w:rsid w:val="00472B28"/>
    <w:rsid w:val="004746D6"/>
    <w:rsid w:val="004749FD"/>
    <w:rsid w:val="00474DB4"/>
    <w:rsid w:val="00475DD0"/>
    <w:rsid w:val="004771BB"/>
    <w:rsid w:val="00477222"/>
    <w:rsid w:val="00480222"/>
    <w:rsid w:val="00480675"/>
    <w:rsid w:val="00480F24"/>
    <w:rsid w:val="00482132"/>
    <w:rsid w:val="00484164"/>
    <w:rsid w:val="00484365"/>
    <w:rsid w:val="00484E2A"/>
    <w:rsid w:val="00485123"/>
    <w:rsid w:val="00486045"/>
    <w:rsid w:val="00486787"/>
    <w:rsid w:val="004873CE"/>
    <w:rsid w:val="00487EF7"/>
    <w:rsid w:val="00487F7D"/>
    <w:rsid w:val="0049317A"/>
    <w:rsid w:val="00493E2D"/>
    <w:rsid w:val="004941FB"/>
    <w:rsid w:val="0049467F"/>
    <w:rsid w:val="004968C7"/>
    <w:rsid w:val="00496D63"/>
    <w:rsid w:val="004972F9"/>
    <w:rsid w:val="004A049D"/>
    <w:rsid w:val="004A0683"/>
    <w:rsid w:val="004A0722"/>
    <w:rsid w:val="004A190E"/>
    <w:rsid w:val="004A1A65"/>
    <w:rsid w:val="004A2298"/>
    <w:rsid w:val="004A2A67"/>
    <w:rsid w:val="004A2E77"/>
    <w:rsid w:val="004A330A"/>
    <w:rsid w:val="004A3454"/>
    <w:rsid w:val="004A3911"/>
    <w:rsid w:val="004A3953"/>
    <w:rsid w:val="004A403E"/>
    <w:rsid w:val="004A4590"/>
    <w:rsid w:val="004A7168"/>
    <w:rsid w:val="004A777F"/>
    <w:rsid w:val="004B1941"/>
    <w:rsid w:val="004B1F67"/>
    <w:rsid w:val="004B2368"/>
    <w:rsid w:val="004B26A0"/>
    <w:rsid w:val="004B3240"/>
    <w:rsid w:val="004B4F31"/>
    <w:rsid w:val="004B53F8"/>
    <w:rsid w:val="004C0720"/>
    <w:rsid w:val="004C12B9"/>
    <w:rsid w:val="004C14FF"/>
    <w:rsid w:val="004C1BC9"/>
    <w:rsid w:val="004C20A0"/>
    <w:rsid w:val="004C2509"/>
    <w:rsid w:val="004C2641"/>
    <w:rsid w:val="004C26D3"/>
    <w:rsid w:val="004C2D19"/>
    <w:rsid w:val="004C2FE0"/>
    <w:rsid w:val="004C3EB8"/>
    <w:rsid w:val="004C3EC5"/>
    <w:rsid w:val="004C40FA"/>
    <w:rsid w:val="004C5304"/>
    <w:rsid w:val="004C60FB"/>
    <w:rsid w:val="004C6632"/>
    <w:rsid w:val="004C6700"/>
    <w:rsid w:val="004C6895"/>
    <w:rsid w:val="004C7577"/>
    <w:rsid w:val="004C7E57"/>
    <w:rsid w:val="004D0776"/>
    <w:rsid w:val="004D0D9F"/>
    <w:rsid w:val="004D10E8"/>
    <w:rsid w:val="004D1997"/>
    <w:rsid w:val="004D227E"/>
    <w:rsid w:val="004D2284"/>
    <w:rsid w:val="004D27D5"/>
    <w:rsid w:val="004D316F"/>
    <w:rsid w:val="004D3236"/>
    <w:rsid w:val="004D3937"/>
    <w:rsid w:val="004D4C93"/>
    <w:rsid w:val="004D629C"/>
    <w:rsid w:val="004D63DF"/>
    <w:rsid w:val="004D65F6"/>
    <w:rsid w:val="004D664F"/>
    <w:rsid w:val="004D706B"/>
    <w:rsid w:val="004D7354"/>
    <w:rsid w:val="004E045A"/>
    <w:rsid w:val="004E07C7"/>
    <w:rsid w:val="004E0BA4"/>
    <w:rsid w:val="004E0BE6"/>
    <w:rsid w:val="004E1050"/>
    <w:rsid w:val="004E124A"/>
    <w:rsid w:val="004E146B"/>
    <w:rsid w:val="004E1CBC"/>
    <w:rsid w:val="004E1DA9"/>
    <w:rsid w:val="004E350F"/>
    <w:rsid w:val="004E3C47"/>
    <w:rsid w:val="004E4BCD"/>
    <w:rsid w:val="004E4EB5"/>
    <w:rsid w:val="004E55D3"/>
    <w:rsid w:val="004E6640"/>
    <w:rsid w:val="004E7953"/>
    <w:rsid w:val="004E7BDB"/>
    <w:rsid w:val="004F02C6"/>
    <w:rsid w:val="004F09A7"/>
    <w:rsid w:val="004F1BFB"/>
    <w:rsid w:val="004F1CAC"/>
    <w:rsid w:val="004F1E55"/>
    <w:rsid w:val="004F321F"/>
    <w:rsid w:val="004F5C7C"/>
    <w:rsid w:val="004F6104"/>
    <w:rsid w:val="004F6FF9"/>
    <w:rsid w:val="004F7ADE"/>
    <w:rsid w:val="004F7CDA"/>
    <w:rsid w:val="004F7D98"/>
    <w:rsid w:val="00500806"/>
    <w:rsid w:val="005009D2"/>
    <w:rsid w:val="00501287"/>
    <w:rsid w:val="005013F5"/>
    <w:rsid w:val="00505A22"/>
    <w:rsid w:val="00505FC6"/>
    <w:rsid w:val="005061E0"/>
    <w:rsid w:val="0050734B"/>
    <w:rsid w:val="0051181F"/>
    <w:rsid w:val="00511A52"/>
    <w:rsid w:val="00511AEF"/>
    <w:rsid w:val="00512433"/>
    <w:rsid w:val="00512FA4"/>
    <w:rsid w:val="0051406B"/>
    <w:rsid w:val="00514910"/>
    <w:rsid w:val="00514D45"/>
    <w:rsid w:val="0051510D"/>
    <w:rsid w:val="005157E6"/>
    <w:rsid w:val="00516550"/>
    <w:rsid w:val="005165C4"/>
    <w:rsid w:val="00516E88"/>
    <w:rsid w:val="00517856"/>
    <w:rsid w:val="0051786A"/>
    <w:rsid w:val="00520449"/>
    <w:rsid w:val="00520A67"/>
    <w:rsid w:val="00520D50"/>
    <w:rsid w:val="00520D5D"/>
    <w:rsid w:val="00521D3E"/>
    <w:rsid w:val="00521E7A"/>
    <w:rsid w:val="0052255A"/>
    <w:rsid w:val="00523822"/>
    <w:rsid w:val="00523ACB"/>
    <w:rsid w:val="005250BE"/>
    <w:rsid w:val="005258B9"/>
    <w:rsid w:val="00530476"/>
    <w:rsid w:val="00530CCC"/>
    <w:rsid w:val="005314AC"/>
    <w:rsid w:val="0053165C"/>
    <w:rsid w:val="00531723"/>
    <w:rsid w:val="00531940"/>
    <w:rsid w:val="00531E04"/>
    <w:rsid w:val="005327EB"/>
    <w:rsid w:val="00533155"/>
    <w:rsid w:val="00534B96"/>
    <w:rsid w:val="00534E72"/>
    <w:rsid w:val="00535535"/>
    <w:rsid w:val="00535690"/>
    <w:rsid w:val="00537B90"/>
    <w:rsid w:val="00540995"/>
    <w:rsid w:val="00540C38"/>
    <w:rsid w:val="00541742"/>
    <w:rsid w:val="00541EB7"/>
    <w:rsid w:val="00542068"/>
    <w:rsid w:val="0054288B"/>
    <w:rsid w:val="00542CD6"/>
    <w:rsid w:val="00543131"/>
    <w:rsid w:val="005436C2"/>
    <w:rsid w:val="00543A2D"/>
    <w:rsid w:val="00546574"/>
    <w:rsid w:val="00547720"/>
    <w:rsid w:val="005508EA"/>
    <w:rsid w:val="00550E7D"/>
    <w:rsid w:val="0055216D"/>
    <w:rsid w:val="00552803"/>
    <w:rsid w:val="005530CA"/>
    <w:rsid w:val="00553411"/>
    <w:rsid w:val="00553B68"/>
    <w:rsid w:val="0055473F"/>
    <w:rsid w:val="0055489A"/>
    <w:rsid w:val="00555419"/>
    <w:rsid w:val="00555F15"/>
    <w:rsid w:val="00556DEE"/>
    <w:rsid w:val="0055791E"/>
    <w:rsid w:val="00557D1E"/>
    <w:rsid w:val="00557F18"/>
    <w:rsid w:val="0056000D"/>
    <w:rsid w:val="005602A7"/>
    <w:rsid w:val="0056062E"/>
    <w:rsid w:val="00560DCC"/>
    <w:rsid w:val="00560F47"/>
    <w:rsid w:val="00562D70"/>
    <w:rsid w:val="00563152"/>
    <w:rsid w:val="0056464C"/>
    <w:rsid w:val="005651D3"/>
    <w:rsid w:val="00565A22"/>
    <w:rsid w:val="005661F2"/>
    <w:rsid w:val="00566B64"/>
    <w:rsid w:val="0056752E"/>
    <w:rsid w:val="0057344A"/>
    <w:rsid w:val="00574CC4"/>
    <w:rsid w:val="00574EC7"/>
    <w:rsid w:val="00575D38"/>
    <w:rsid w:val="00575DCC"/>
    <w:rsid w:val="005766EA"/>
    <w:rsid w:val="0057689E"/>
    <w:rsid w:val="00577317"/>
    <w:rsid w:val="005778BF"/>
    <w:rsid w:val="00577E0E"/>
    <w:rsid w:val="00580D21"/>
    <w:rsid w:val="005811F6"/>
    <w:rsid w:val="005812AA"/>
    <w:rsid w:val="005813FA"/>
    <w:rsid w:val="005817E2"/>
    <w:rsid w:val="00583741"/>
    <w:rsid w:val="0058386F"/>
    <w:rsid w:val="005839AE"/>
    <w:rsid w:val="00583AFD"/>
    <w:rsid w:val="00583E68"/>
    <w:rsid w:val="00584265"/>
    <w:rsid w:val="005852F0"/>
    <w:rsid w:val="00587180"/>
    <w:rsid w:val="00587396"/>
    <w:rsid w:val="00591F29"/>
    <w:rsid w:val="0059342F"/>
    <w:rsid w:val="00593D24"/>
    <w:rsid w:val="005949BC"/>
    <w:rsid w:val="00595732"/>
    <w:rsid w:val="00597EB3"/>
    <w:rsid w:val="005A095B"/>
    <w:rsid w:val="005A0ABF"/>
    <w:rsid w:val="005A1241"/>
    <w:rsid w:val="005A13A1"/>
    <w:rsid w:val="005A15FD"/>
    <w:rsid w:val="005A1B06"/>
    <w:rsid w:val="005A2564"/>
    <w:rsid w:val="005A3000"/>
    <w:rsid w:val="005A34C4"/>
    <w:rsid w:val="005A3B1E"/>
    <w:rsid w:val="005A5724"/>
    <w:rsid w:val="005A743F"/>
    <w:rsid w:val="005A7A98"/>
    <w:rsid w:val="005A7F10"/>
    <w:rsid w:val="005B07AB"/>
    <w:rsid w:val="005B0B10"/>
    <w:rsid w:val="005B0E0F"/>
    <w:rsid w:val="005B206D"/>
    <w:rsid w:val="005B22A1"/>
    <w:rsid w:val="005B265C"/>
    <w:rsid w:val="005B2E98"/>
    <w:rsid w:val="005B3640"/>
    <w:rsid w:val="005B3811"/>
    <w:rsid w:val="005B42F9"/>
    <w:rsid w:val="005B4971"/>
    <w:rsid w:val="005B52EF"/>
    <w:rsid w:val="005B5596"/>
    <w:rsid w:val="005B5C13"/>
    <w:rsid w:val="005B5E6E"/>
    <w:rsid w:val="005B6B49"/>
    <w:rsid w:val="005B6D3B"/>
    <w:rsid w:val="005B6F94"/>
    <w:rsid w:val="005B778B"/>
    <w:rsid w:val="005B7F75"/>
    <w:rsid w:val="005C05A1"/>
    <w:rsid w:val="005C0C87"/>
    <w:rsid w:val="005C0FAA"/>
    <w:rsid w:val="005C1219"/>
    <w:rsid w:val="005C3B15"/>
    <w:rsid w:val="005C4A84"/>
    <w:rsid w:val="005C4DE3"/>
    <w:rsid w:val="005C5ABF"/>
    <w:rsid w:val="005C6264"/>
    <w:rsid w:val="005C6328"/>
    <w:rsid w:val="005C64B7"/>
    <w:rsid w:val="005C6777"/>
    <w:rsid w:val="005C6F80"/>
    <w:rsid w:val="005C7266"/>
    <w:rsid w:val="005D19B0"/>
    <w:rsid w:val="005D1DF6"/>
    <w:rsid w:val="005D1ED0"/>
    <w:rsid w:val="005D2F3D"/>
    <w:rsid w:val="005D3168"/>
    <w:rsid w:val="005D3995"/>
    <w:rsid w:val="005D3A63"/>
    <w:rsid w:val="005D3E87"/>
    <w:rsid w:val="005D7287"/>
    <w:rsid w:val="005D7DE1"/>
    <w:rsid w:val="005E007C"/>
    <w:rsid w:val="005E0287"/>
    <w:rsid w:val="005E0771"/>
    <w:rsid w:val="005E12D0"/>
    <w:rsid w:val="005E22A0"/>
    <w:rsid w:val="005E2E06"/>
    <w:rsid w:val="005E4933"/>
    <w:rsid w:val="005E68AA"/>
    <w:rsid w:val="005E715C"/>
    <w:rsid w:val="005E72D1"/>
    <w:rsid w:val="005E78F6"/>
    <w:rsid w:val="005F1D8B"/>
    <w:rsid w:val="005F27E8"/>
    <w:rsid w:val="005F2BA0"/>
    <w:rsid w:val="005F3468"/>
    <w:rsid w:val="005F3677"/>
    <w:rsid w:val="005F387F"/>
    <w:rsid w:val="005F4230"/>
    <w:rsid w:val="005F4AA0"/>
    <w:rsid w:val="005F4F6A"/>
    <w:rsid w:val="005F5317"/>
    <w:rsid w:val="005F5494"/>
    <w:rsid w:val="005F55AF"/>
    <w:rsid w:val="005F6B51"/>
    <w:rsid w:val="005F7F93"/>
    <w:rsid w:val="00600D83"/>
    <w:rsid w:val="0060218F"/>
    <w:rsid w:val="0060221F"/>
    <w:rsid w:val="006039F5"/>
    <w:rsid w:val="00604A99"/>
    <w:rsid w:val="00604F1A"/>
    <w:rsid w:val="0060582C"/>
    <w:rsid w:val="00605A46"/>
    <w:rsid w:val="00605D1D"/>
    <w:rsid w:val="00605D3A"/>
    <w:rsid w:val="00605E64"/>
    <w:rsid w:val="0060632D"/>
    <w:rsid w:val="0060689E"/>
    <w:rsid w:val="00606B04"/>
    <w:rsid w:val="0060747B"/>
    <w:rsid w:val="0061065A"/>
    <w:rsid w:val="00610765"/>
    <w:rsid w:val="00612698"/>
    <w:rsid w:val="00612D24"/>
    <w:rsid w:val="00613154"/>
    <w:rsid w:val="00614112"/>
    <w:rsid w:val="00614931"/>
    <w:rsid w:val="00614BDF"/>
    <w:rsid w:val="00614FEE"/>
    <w:rsid w:val="0061584A"/>
    <w:rsid w:val="00615D11"/>
    <w:rsid w:val="006169CA"/>
    <w:rsid w:val="0061729E"/>
    <w:rsid w:val="00617376"/>
    <w:rsid w:val="006178A2"/>
    <w:rsid w:val="006209CD"/>
    <w:rsid w:val="00620E54"/>
    <w:rsid w:val="00621595"/>
    <w:rsid w:val="00621E3E"/>
    <w:rsid w:val="00622BF5"/>
    <w:rsid w:val="0062315B"/>
    <w:rsid w:val="006233BC"/>
    <w:rsid w:val="006236D9"/>
    <w:rsid w:val="00624938"/>
    <w:rsid w:val="00624A65"/>
    <w:rsid w:val="00624FDE"/>
    <w:rsid w:val="0062597E"/>
    <w:rsid w:val="00626A01"/>
    <w:rsid w:val="006275AB"/>
    <w:rsid w:val="0062768B"/>
    <w:rsid w:val="00627B10"/>
    <w:rsid w:val="006305FC"/>
    <w:rsid w:val="0063082C"/>
    <w:rsid w:val="00630F1F"/>
    <w:rsid w:val="00632C52"/>
    <w:rsid w:val="00634641"/>
    <w:rsid w:val="00635BD0"/>
    <w:rsid w:val="006360C1"/>
    <w:rsid w:val="00636614"/>
    <w:rsid w:val="006367F4"/>
    <w:rsid w:val="00636F57"/>
    <w:rsid w:val="0063779E"/>
    <w:rsid w:val="00637D1B"/>
    <w:rsid w:val="0064122B"/>
    <w:rsid w:val="00641356"/>
    <w:rsid w:val="006427B8"/>
    <w:rsid w:val="006432B4"/>
    <w:rsid w:val="006443DA"/>
    <w:rsid w:val="006450A4"/>
    <w:rsid w:val="00645180"/>
    <w:rsid w:val="00645288"/>
    <w:rsid w:val="00646912"/>
    <w:rsid w:val="00647824"/>
    <w:rsid w:val="006502C3"/>
    <w:rsid w:val="0065145C"/>
    <w:rsid w:val="0065215B"/>
    <w:rsid w:val="00652B07"/>
    <w:rsid w:val="006537DB"/>
    <w:rsid w:val="0065499A"/>
    <w:rsid w:val="00654E60"/>
    <w:rsid w:val="00655C85"/>
    <w:rsid w:val="0065617D"/>
    <w:rsid w:val="00656BC0"/>
    <w:rsid w:val="00656C04"/>
    <w:rsid w:val="006602B2"/>
    <w:rsid w:val="006607F7"/>
    <w:rsid w:val="00660AD8"/>
    <w:rsid w:val="00660FD4"/>
    <w:rsid w:val="006643B3"/>
    <w:rsid w:val="00664E4F"/>
    <w:rsid w:val="006651AD"/>
    <w:rsid w:val="006651E7"/>
    <w:rsid w:val="00666C85"/>
    <w:rsid w:val="00667174"/>
    <w:rsid w:val="0066778D"/>
    <w:rsid w:val="006679C1"/>
    <w:rsid w:val="00670145"/>
    <w:rsid w:val="00670A76"/>
    <w:rsid w:val="00670FE7"/>
    <w:rsid w:val="00674265"/>
    <w:rsid w:val="0067532C"/>
    <w:rsid w:val="00675B05"/>
    <w:rsid w:val="0067622A"/>
    <w:rsid w:val="00676B75"/>
    <w:rsid w:val="00677599"/>
    <w:rsid w:val="00681C96"/>
    <w:rsid w:val="006829DC"/>
    <w:rsid w:val="0068305E"/>
    <w:rsid w:val="006831A9"/>
    <w:rsid w:val="006834DC"/>
    <w:rsid w:val="006837E8"/>
    <w:rsid w:val="00684207"/>
    <w:rsid w:val="00684423"/>
    <w:rsid w:val="00684C15"/>
    <w:rsid w:val="006855DF"/>
    <w:rsid w:val="00686B6A"/>
    <w:rsid w:val="00686F12"/>
    <w:rsid w:val="00687052"/>
    <w:rsid w:val="00690746"/>
    <w:rsid w:val="0069107D"/>
    <w:rsid w:val="00692488"/>
    <w:rsid w:val="006936CA"/>
    <w:rsid w:val="00693A6A"/>
    <w:rsid w:val="0069491D"/>
    <w:rsid w:val="006955AE"/>
    <w:rsid w:val="00696A1B"/>
    <w:rsid w:val="00696DA4"/>
    <w:rsid w:val="00697C91"/>
    <w:rsid w:val="006A00FD"/>
    <w:rsid w:val="006A2B44"/>
    <w:rsid w:val="006A406F"/>
    <w:rsid w:val="006A5398"/>
    <w:rsid w:val="006A554F"/>
    <w:rsid w:val="006A791B"/>
    <w:rsid w:val="006A7927"/>
    <w:rsid w:val="006A7E52"/>
    <w:rsid w:val="006B067E"/>
    <w:rsid w:val="006B2224"/>
    <w:rsid w:val="006B2ECC"/>
    <w:rsid w:val="006B3188"/>
    <w:rsid w:val="006B3C1D"/>
    <w:rsid w:val="006B4B4D"/>
    <w:rsid w:val="006B53FE"/>
    <w:rsid w:val="006B644C"/>
    <w:rsid w:val="006B6BF7"/>
    <w:rsid w:val="006B7E93"/>
    <w:rsid w:val="006B7F07"/>
    <w:rsid w:val="006C064E"/>
    <w:rsid w:val="006C0996"/>
    <w:rsid w:val="006C0BBF"/>
    <w:rsid w:val="006C2445"/>
    <w:rsid w:val="006C30AA"/>
    <w:rsid w:val="006C367E"/>
    <w:rsid w:val="006C5484"/>
    <w:rsid w:val="006C5A0D"/>
    <w:rsid w:val="006C662B"/>
    <w:rsid w:val="006C7761"/>
    <w:rsid w:val="006C7836"/>
    <w:rsid w:val="006C7E7C"/>
    <w:rsid w:val="006D0215"/>
    <w:rsid w:val="006D0370"/>
    <w:rsid w:val="006D3A77"/>
    <w:rsid w:val="006D3B25"/>
    <w:rsid w:val="006D3DA6"/>
    <w:rsid w:val="006D62C4"/>
    <w:rsid w:val="006D68FB"/>
    <w:rsid w:val="006D6B26"/>
    <w:rsid w:val="006E08EC"/>
    <w:rsid w:val="006E34D1"/>
    <w:rsid w:val="006E367D"/>
    <w:rsid w:val="006E64FA"/>
    <w:rsid w:val="006E79D3"/>
    <w:rsid w:val="006F0561"/>
    <w:rsid w:val="006F1688"/>
    <w:rsid w:val="006F2071"/>
    <w:rsid w:val="006F24DA"/>
    <w:rsid w:val="006F621C"/>
    <w:rsid w:val="00700751"/>
    <w:rsid w:val="00701FAA"/>
    <w:rsid w:val="00702F46"/>
    <w:rsid w:val="0070359D"/>
    <w:rsid w:val="00703876"/>
    <w:rsid w:val="00703C83"/>
    <w:rsid w:val="0070443A"/>
    <w:rsid w:val="00704470"/>
    <w:rsid w:val="0070662B"/>
    <w:rsid w:val="007068DF"/>
    <w:rsid w:val="0070770E"/>
    <w:rsid w:val="00707DC5"/>
    <w:rsid w:val="00711475"/>
    <w:rsid w:val="007129E8"/>
    <w:rsid w:val="00712BEE"/>
    <w:rsid w:val="00713DDC"/>
    <w:rsid w:val="007151CF"/>
    <w:rsid w:val="007157D6"/>
    <w:rsid w:val="00715CAA"/>
    <w:rsid w:val="00716A19"/>
    <w:rsid w:val="00716EF7"/>
    <w:rsid w:val="00717B33"/>
    <w:rsid w:val="0072025D"/>
    <w:rsid w:val="00721C6B"/>
    <w:rsid w:val="00722253"/>
    <w:rsid w:val="00722A90"/>
    <w:rsid w:val="00726F2F"/>
    <w:rsid w:val="00727B15"/>
    <w:rsid w:val="00727B5C"/>
    <w:rsid w:val="007314F0"/>
    <w:rsid w:val="00731CA9"/>
    <w:rsid w:val="00731FAA"/>
    <w:rsid w:val="00732632"/>
    <w:rsid w:val="007339CE"/>
    <w:rsid w:val="0073426C"/>
    <w:rsid w:val="00735204"/>
    <w:rsid w:val="00736BCF"/>
    <w:rsid w:val="007370D6"/>
    <w:rsid w:val="007402D7"/>
    <w:rsid w:val="0074039A"/>
    <w:rsid w:val="00741970"/>
    <w:rsid w:val="00742A4F"/>
    <w:rsid w:val="00742C1B"/>
    <w:rsid w:val="00742E10"/>
    <w:rsid w:val="00742ED8"/>
    <w:rsid w:val="00743B10"/>
    <w:rsid w:val="0074499A"/>
    <w:rsid w:val="007459DB"/>
    <w:rsid w:val="00745C3F"/>
    <w:rsid w:val="007469E5"/>
    <w:rsid w:val="00746CAA"/>
    <w:rsid w:val="00747186"/>
    <w:rsid w:val="0074725D"/>
    <w:rsid w:val="00747803"/>
    <w:rsid w:val="00747BEF"/>
    <w:rsid w:val="00750215"/>
    <w:rsid w:val="00750B6E"/>
    <w:rsid w:val="00750C1D"/>
    <w:rsid w:val="00751406"/>
    <w:rsid w:val="007514D1"/>
    <w:rsid w:val="00751A8A"/>
    <w:rsid w:val="0075241B"/>
    <w:rsid w:val="0075321F"/>
    <w:rsid w:val="00754356"/>
    <w:rsid w:val="007552A7"/>
    <w:rsid w:val="007559D2"/>
    <w:rsid w:val="00756121"/>
    <w:rsid w:val="0075778D"/>
    <w:rsid w:val="007613F9"/>
    <w:rsid w:val="00761B4D"/>
    <w:rsid w:val="00761C5E"/>
    <w:rsid w:val="00761F9E"/>
    <w:rsid w:val="00762732"/>
    <w:rsid w:val="00763154"/>
    <w:rsid w:val="00763357"/>
    <w:rsid w:val="007639EB"/>
    <w:rsid w:val="00763F4F"/>
    <w:rsid w:val="007640ED"/>
    <w:rsid w:val="007641FF"/>
    <w:rsid w:val="007645AD"/>
    <w:rsid w:val="00764BD3"/>
    <w:rsid w:val="0076533C"/>
    <w:rsid w:val="007654A2"/>
    <w:rsid w:val="007656A6"/>
    <w:rsid w:val="00765A39"/>
    <w:rsid w:val="00765E43"/>
    <w:rsid w:val="00767136"/>
    <w:rsid w:val="00770A8C"/>
    <w:rsid w:val="0077130D"/>
    <w:rsid w:val="0077185C"/>
    <w:rsid w:val="007723A1"/>
    <w:rsid w:val="007725CA"/>
    <w:rsid w:val="00772AF9"/>
    <w:rsid w:val="007731CF"/>
    <w:rsid w:val="00773BB4"/>
    <w:rsid w:val="00773FF3"/>
    <w:rsid w:val="007740C2"/>
    <w:rsid w:val="00774912"/>
    <w:rsid w:val="00776EDD"/>
    <w:rsid w:val="007772B0"/>
    <w:rsid w:val="00780711"/>
    <w:rsid w:val="007812C5"/>
    <w:rsid w:val="007822B8"/>
    <w:rsid w:val="00786108"/>
    <w:rsid w:val="0078642D"/>
    <w:rsid w:val="007905BB"/>
    <w:rsid w:val="00792D09"/>
    <w:rsid w:val="007933BB"/>
    <w:rsid w:val="007933F8"/>
    <w:rsid w:val="0079449C"/>
    <w:rsid w:val="007949DE"/>
    <w:rsid w:val="00794AF3"/>
    <w:rsid w:val="00795C36"/>
    <w:rsid w:val="007960E2"/>
    <w:rsid w:val="00796F7D"/>
    <w:rsid w:val="00797BA5"/>
    <w:rsid w:val="007A04E3"/>
    <w:rsid w:val="007A136F"/>
    <w:rsid w:val="007A1A67"/>
    <w:rsid w:val="007A3259"/>
    <w:rsid w:val="007A36E4"/>
    <w:rsid w:val="007A6069"/>
    <w:rsid w:val="007A6906"/>
    <w:rsid w:val="007A7258"/>
    <w:rsid w:val="007A7306"/>
    <w:rsid w:val="007B03B3"/>
    <w:rsid w:val="007B0488"/>
    <w:rsid w:val="007B05B9"/>
    <w:rsid w:val="007B0E42"/>
    <w:rsid w:val="007B0FE2"/>
    <w:rsid w:val="007B36F7"/>
    <w:rsid w:val="007B458E"/>
    <w:rsid w:val="007B4AD0"/>
    <w:rsid w:val="007B522F"/>
    <w:rsid w:val="007B5601"/>
    <w:rsid w:val="007B64A7"/>
    <w:rsid w:val="007B7101"/>
    <w:rsid w:val="007C019C"/>
    <w:rsid w:val="007C032B"/>
    <w:rsid w:val="007C03CE"/>
    <w:rsid w:val="007C03D3"/>
    <w:rsid w:val="007C1AC7"/>
    <w:rsid w:val="007C28F4"/>
    <w:rsid w:val="007C3DF5"/>
    <w:rsid w:val="007C48E0"/>
    <w:rsid w:val="007C5EAD"/>
    <w:rsid w:val="007C6367"/>
    <w:rsid w:val="007D0365"/>
    <w:rsid w:val="007D08D0"/>
    <w:rsid w:val="007D0D32"/>
    <w:rsid w:val="007D1462"/>
    <w:rsid w:val="007D18BE"/>
    <w:rsid w:val="007D3A85"/>
    <w:rsid w:val="007D3F96"/>
    <w:rsid w:val="007D4138"/>
    <w:rsid w:val="007D4B1D"/>
    <w:rsid w:val="007D51B3"/>
    <w:rsid w:val="007D5381"/>
    <w:rsid w:val="007D583D"/>
    <w:rsid w:val="007D5F7C"/>
    <w:rsid w:val="007D61F1"/>
    <w:rsid w:val="007D62E0"/>
    <w:rsid w:val="007D6BED"/>
    <w:rsid w:val="007D77A8"/>
    <w:rsid w:val="007D7C3C"/>
    <w:rsid w:val="007E09B1"/>
    <w:rsid w:val="007E0A27"/>
    <w:rsid w:val="007E152B"/>
    <w:rsid w:val="007E1559"/>
    <w:rsid w:val="007E1682"/>
    <w:rsid w:val="007E3EDE"/>
    <w:rsid w:val="007E41E6"/>
    <w:rsid w:val="007E6667"/>
    <w:rsid w:val="007E798A"/>
    <w:rsid w:val="007E7BD4"/>
    <w:rsid w:val="007E7D6A"/>
    <w:rsid w:val="007F05C3"/>
    <w:rsid w:val="007F0E00"/>
    <w:rsid w:val="007F1070"/>
    <w:rsid w:val="007F12FE"/>
    <w:rsid w:val="007F1993"/>
    <w:rsid w:val="007F2912"/>
    <w:rsid w:val="007F2975"/>
    <w:rsid w:val="007F33F5"/>
    <w:rsid w:val="007F3A05"/>
    <w:rsid w:val="007F40C9"/>
    <w:rsid w:val="007F5313"/>
    <w:rsid w:val="007F7059"/>
    <w:rsid w:val="007F7061"/>
    <w:rsid w:val="007F72EC"/>
    <w:rsid w:val="0080043F"/>
    <w:rsid w:val="0080183A"/>
    <w:rsid w:val="00801DD9"/>
    <w:rsid w:val="00802233"/>
    <w:rsid w:val="00805B0D"/>
    <w:rsid w:val="00805C89"/>
    <w:rsid w:val="00806551"/>
    <w:rsid w:val="0080706F"/>
    <w:rsid w:val="008106DE"/>
    <w:rsid w:val="00810A4C"/>
    <w:rsid w:val="008117BB"/>
    <w:rsid w:val="0081206A"/>
    <w:rsid w:val="00812CBE"/>
    <w:rsid w:val="00813682"/>
    <w:rsid w:val="008144C4"/>
    <w:rsid w:val="00814A91"/>
    <w:rsid w:val="0081516C"/>
    <w:rsid w:val="0081521B"/>
    <w:rsid w:val="0081653C"/>
    <w:rsid w:val="00816895"/>
    <w:rsid w:val="008170AC"/>
    <w:rsid w:val="00817733"/>
    <w:rsid w:val="0082042D"/>
    <w:rsid w:val="008204BD"/>
    <w:rsid w:val="0082104D"/>
    <w:rsid w:val="00821EEC"/>
    <w:rsid w:val="00821FE2"/>
    <w:rsid w:val="008223C4"/>
    <w:rsid w:val="008223DA"/>
    <w:rsid w:val="008225AA"/>
    <w:rsid w:val="00822ECB"/>
    <w:rsid w:val="008261C8"/>
    <w:rsid w:val="0082621A"/>
    <w:rsid w:val="008272DC"/>
    <w:rsid w:val="00827958"/>
    <w:rsid w:val="00830152"/>
    <w:rsid w:val="00830D03"/>
    <w:rsid w:val="00831E4C"/>
    <w:rsid w:val="00832E57"/>
    <w:rsid w:val="00833C6C"/>
    <w:rsid w:val="00834007"/>
    <w:rsid w:val="00835394"/>
    <w:rsid w:val="008360E3"/>
    <w:rsid w:val="008369EB"/>
    <w:rsid w:val="00837458"/>
    <w:rsid w:val="00837F78"/>
    <w:rsid w:val="008403C2"/>
    <w:rsid w:val="00840D7A"/>
    <w:rsid w:val="00841477"/>
    <w:rsid w:val="008415A9"/>
    <w:rsid w:val="0084249A"/>
    <w:rsid w:val="00845515"/>
    <w:rsid w:val="00846569"/>
    <w:rsid w:val="00847F06"/>
    <w:rsid w:val="00850423"/>
    <w:rsid w:val="00850929"/>
    <w:rsid w:val="00851A91"/>
    <w:rsid w:val="00851FAE"/>
    <w:rsid w:val="00852320"/>
    <w:rsid w:val="008526D5"/>
    <w:rsid w:val="00852B38"/>
    <w:rsid w:val="00854394"/>
    <w:rsid w:val="008549BC"/>
    <w:rsid w:val="00854D8C"/>
    <w:rsid w:val="00854F41"/>
    <w:rsid w:val="00854F47"/>
    <w:rsid w:val="008560B0"/>
    <w:rsid w:val="00856243"/>
    <w:rsid w:val="0085626C"/>
    <w:rsid w:val="008570DD"/>
    <w:rsid w:val="008579BA"/>
    <w:rsid w:val="00861CD0"/>
    <w:rsid w:val="008632E6"/>
    <w:rsid w:val="008644AE"/>
    <w:rsid w:val="00864652"/>
    <w:rsid w:val="00865204"/>
    <w:rsid w:val="00865A60"/>
    <w:rsid w:val="008672D7"/>
    <w:rsid w:val="00870B91"/>
    <w:rsid w:val="00871568"/>
    <w:rsid w:val="008720F9"/>
    <w:rsid w:val="00872740"/>
    <w:rsid w:val="008740AB"/>
    <w:rsid w:val="00875725"/>
    <w:rsid w:val="00875BA7"/>
    <w:rsid w:val="0087600F"/>
    <w:rsid w:val="0087609C"/>
    <w:rsid w:val="008762DB"/>
    <w:rsid w:val="00876999"/>
    <w:rsid w:val="00877296"/>
    <w:rsid w:val="008778A1"/>
    <w:rsid w:val="00877B31"/>
    <w:rsid w:val="00877CB4"/>
    <w:rsid w:val="008821C0"/>
    <w:rsid w:val="008834C2"/>
    <w:rsid w:val="0088428D"/>
    <w:rsid w:val="00884686"/>
    <w:rsid w:val="0088530C"/>
    <w:rsid w:val="00885A46"/>
    <w:rsid w:val="00885DF9"/>
    <w:rsid w:val="008860EE"/>
    <w:rsid w:val="00886DE6"/>
    <w:rsid w:val="008903AA"/>
    <w:rsid w:val="008904E5"/>
    <w:rsid w:val="00891C8D"/>
    <w:rsid w:val="00891E28"/>
    <w:rsid w:val="00891F31"/>
    <w:rsid w:val="0089298A"/>
    <w:rsid w:val="00893572"/>
    <w:rsid w:val="008943AD"/>
    <w:rsid w:val="008946F3"/>
    <w:rsid w:val="008948AA"/>
    <w:rsid w:val="00895896"/>
    <w:rsid w:val="00896C9A"/>
    <w:rsid w:val="00897298"/>
    <w:rsid w:val="008A0CB5"/>
    <w:rsid w:val="008A0DD6"/>
    <w:rsid w:val="008A0EFD"/>
    <w:rsid w:val="008A1120"/>
    <w:rsid w:val="008A1964"/>
    <w:rsid w:val="008A1F27"/>
    <w:rsid w:val="008A2BEB"/>
    <w:rsid w:val="008A32DE"/>
    <w:rsid w:val="008A3E42"/>
    <w:rsid w:val="008A4E09"/>
    <w:rsid w:val="008A4F55"/>
    <w:rsid w:val="008A5189"/>
    <w:rsid w:val="008A6064"/>
    <w:rsid w:val="008A696C"/>
    <w:rsid w:val="008A6AC6"/>
    <w:rsid w:val="008A6E80"/>
    <w:rsid w:val="008A7438"/>
    <w:rsid w:val="008B0603"/>
    <w:rsid w:val="008B12BA"/>
    <w:rsid w:val="008B181A"/>
    <w:rsid w:val="008B18AD"/>
    <w:rsid w:val="008B1C7B"/>
    <w:rsid w:val="008B2D3B"/>
    <w:rsid w:val="008B398D"/>
    <w:rsid w:val="008B3A6B"/>
    <w:rsid w:val="008B486E"/>
    <w:rsid w:val="008B5431"/>
    <w:rsid w:val="008B54A6"/>
    <w:rsid w:val="008B552C"/>
    <w:rsid w:val="008B5965"/>
    <w:rsid w:val="008B5BAF"/>
    <w:rsid w:val="008B6097"/>
    <w:rsid w:val="008B68A0"/>
    <w:rsid w:val="008B7A7C"/>
    <w:rsid w:val="008B7E4C"/>
    <w:rsid w:val="008C00AC"/>
    <w:rsid w:val="008C0FD9"/>
    <w:rsid w:val="008C1C4A"/>
    <w:rsid w:val="008C34A0"/>
    <w:rsid w:val="008C38DD"/>
    <w:rsid w:val="008C49C6"/>
    <w:rsid w:val="008C4C93"/>
    <w:rsid w:val="008C5596"/>
    <w:rsid w:val="008C5709"/>
    <w:rsid w:val="008C5F95"/>
    <w:rsid w:val="008D0863"/>
    <w:rsid w:val="008D0896"/>
    <w:rsid w:val="008D227F"/>
    <w:rsid w:val="008D3862"/>
    <w:rsid w:val="008D4952"/>
    <w:rsid w:val="008D4F83"/>
    <w:rsid w:val="008D79A9"/>
    <w:rsid w:val="008E1A83"/>
    <w:rsid w:val="008E30F6"/>
    <w:rsid w:val="008E3B93"/>
    <w:rsid w:val="008E43CD"/>
    <w:rsid w:val="008E5D4C"/>
    <w:rsid w:val="008E778D"/>
    <w:rsid w:val="008E79C9"/>
    <w:rsid w:val="008F07ED"/>
    <w:rsid w:val="008F0971"/>
    <w:rsid w:val="008F13C6"/>
    <w:rsid w:val="008F19E3"/>
    <w:rsid w:val="008F1A9C"/>
    <w:rsid w:val="008F2150"/>
    <w:rsid w:val="008F255B"/>
    <w:rsid w:val="008F3591"/>
    <w:rsid w:val="008F428B"/>
    <w:rsid w:val="008F49B7"/>
    <w:rsid w:val="008F4FCF"/>
    <w:rsid w:val="008F52A8"/>
    <w:rsid w:val="008F5397"/>
    <w:rsid w:val="008F5DC7"/>
    <w:rsid w:val="008F630B"/>
    <w:rsid w:val="008F69C8"/>
    <w:rsid w:val="008F6DD2"/>
    <w:rsid w:val="008F7470"/>
    <w:rsid w:val="008F7F8E"/>
    <w:rsid w:val="00900799"/>
    <w:rsid w:val="00900B27"/>
    <w:rsid w:val="00901019"/>
    <w:rsid w:val="009012D7"/>
    <w:rsid w:val="00902091"/>
    <w:rsid w:val="00902294"/>
    <w:rsid w:val="009023B5"/>
    <w:rsid w:val="00902408"/>
    <w:rsid w:val="00902A6F"/>
    <w:rsid w:val="009031CF"/>
    <w:rsid w:val="009037EA"/>
    <w:rsid w:val="00903E1F"/>
    <w:rsid w:val="00904440"/>
    <w:rsid w:val="009048CF"/>
    <w:rsid w:val="00904DA2"/>
    <w:rsid w:val="0090587B"/>
    <w:rsid w:val="009068D9"/>
    <w:rsid w:val="00910BA7"/>
    <w:rsid w:val="00911076"/>
    <w:rsid w:val="0091305E"/>
    <w:rsid w:val="009133DD"/>
    <w:rsid w:val="00914CE2"/>
    <w:rsid w:val="00914E4F"/>
    <w:rsid w:val="00915B6E"/>
    <w:rsid w:val="009171BE"/>
    <w:rsid w:val="0092019C"/>
    <w:rsid w:val="009202E3"/>
    <w:rsid w:val="0092030A"/>
    <w:rsid w:val="00920641"/>
    <w:rsid w:val="0092092B"/>
    <w:rsid w:val="00920FF1"/>
    <w:rsid w:val="009215F4"/>
    <w:rsid w:val="00921752"/>
    <w:rsid w:val="00921A7A"/>
    <w:rsid w:val="00921C5F"/>
    <w:rsid w:val="00923F0B"/>
    <w:rsid w:val="009246B0"/>
    <w:rsid w:val="009259B1"/>
    <w:rsid w:val="0092697E"/>
    <w:rsid w:val="0092779C"/>
    <w:rsid w:val="009277C0"/>
    <w:rsid w:val="00927E55"/>
    <w:rsid w:val="00930261"/>
    <w:rsid w:val="009305EE"/>
    <w:rsid w:val="00931423"/>
    <w:rsid w:val="0093144C"/>
    <w:rsid w:val="00931672"/>
    <w:rsid w:val="0093331C"/>
    <w:rsid w:val="00933F01"/>
    <w:rsid w:val="00933F59"/>
    <w:rsid w:val="00933F64"/>
    <w:rsid w:val="00933FFF"/>
    <w:rsid w:val="009348E0"/>
    <w:rsid w:val="009355AA"/>
    <w:rsid w:val="009359FB"/>
    <w:rsid w:val="00937E69"/>
    <w:rsid w:val="009405D2"/>
    <w:rsid w:val="0094159F"/>
    <w:rsid w:val="009417E1"/>
    <w:rsid w:val="00941CE5"/>
    <w:rsid w:val="00941DAE"/>
    <w:rsid w:val="0094443D"/>
    <w:rsid w:val="0094538D"/>
    <w:rsid w:val="00945BED"/>
    <w:rsid w:val="009460E0"/>
    <w:rsid w:val="00946A8E"/>
    <w:rsid w:val="009478F1"/>
    <w:rsid w:val="00947A95"/>
    <w:rsid w:val="00950F67"/>
    <w:rsid w:val="00951964"/>
    <w:rsid w:val="00951C29"/>
    <w:rsid w:val="009537A9"/>
    <w:rsid w:val="00954240"/>
    <w:rsid w:val="00956748"/>
    <w:rsid w:val="00960978"/>
    <w:rsid w:val="00961196"/>
    <w:rsid w:val="00961BF5"/>
    <w:rsid w:val="00961CC5"/>
    <w:rsid w:val="00961D95"/>
    <w:rsid w:val="009633FC"/>
    <w:rsid w:val="009636D2"/>
    <w:rsid w:val="00963A0F"/>
    <w:rsid w:val="00963C1A"/>
    <w:rsid w:val="00966BB9"/>
    <w:rsid w:val="00967030"/>
    <w:rsid w:val="00970808"/>
    <w:rsid w:val="00970927"/>
    <w:rsid w:val="0097115E"/>
    <w:rsid w:val="00971329"/>
    <w:rsid w:val="0097205E"/>
    <w:rsid w:val="009727F1"/>
    <w:rsid w:val="00972B03"/>
    <w:rsid w:val="009740D0"/>
    <w:rsid w:val="00974148"/>
    <w:rsid w:val="0097414E"/>
    <w:rsid w:val="00974C61"/>
    <w:rsid w:val="00975276"/>
    <w:rsid w:val="0097629B"/>
    <w:rsid w:val="00976EE9"/>
    <w:rsid w:val="009771F8"/>
    <w:rsid w:val="00977371"/>
    <w:rsid w:val="009774A8"/>
    <w:rsid w:val="0098068D"/>
    <w:rsid w:val="0098102F"/>
    <w:rsid w:val="00981153"/>
    <w:rsid w:val="00982A0C"/>
    <w:rsid w:val="00983A1D"/>
    <w:rsid w:val="00983EEB"/>
    <w:rsid w:val="00986F5D"/>
    <w:rsid w:val="00987C82"/>
    <w:rsid w:val="009904F8"/>
    <w:rsid w:val="009920A0"/>
    <w:rsid w:val="009927BB"/>
    <w:rsid w:val="009929D3"/>
    <w:rsid w:val="00994E1D"/>
    <w:rsid w:val="00995AD1"/>
    <w:rsid w:val="009965CF"/>
    <w:rsid w:val="00996848"/>
    <w:rsid w:val="0099718F"/>
    <w:rsid w:val="0099738C"/>
    <w:rsid w:val="00997D73"/>
    <w:rsid w:val="009A1807"/>
    <w:rsid w:val="009A1A7B"/>
    <w:rsid w:val="009A1FD3"/>
    <w:rsid w:val="009A24B2"/>
    <w:rsid w:val="009A32A4"/>
    <w:rsid w:val="009A38D7"/>
    <w:rsid w:val="009A56BC"/>
    <w:rsid w:val="009A5A36"/>
    <w:rsid w:val="009A5B39"/>
    <w:rsid w:val="009A6D5E"/>
    <w:rsid w:val="009A6F07"/>
    <w:rsid w:val="009A77DE"/>
    <w:rsid w:val="009B057C"/>
    <w:rsid w:val="009B17AD"/>
    <w:rsid w:val="009B1877"/>
    <w:rsid w:val="009B1EBC"/>
    <w:rsid w:val="009B226B"/>
    <w:rsid w:val="009B3FE6"/>
    <w:rsid w:val="009B5153"/>
    <w:rsid w:val="009B5ABF"/>
    <w:rsid w:val="009B6321"/>
    <w:rsid w:val="009B7830"/>
    <w:rsid w:val="009C07BD"/>
    <w:rsid w:val="009C08A8"/>
    <w:rsid w:val="009C0C8D"/>
    <w:rsid w:val="009C1130"/>
    <w:rsid w:val="009C1512"/>
    <w:rsid w:val="009C222C"/>
    <w:rsid w:val="009C23E2"/>
    <w:rsid w:val="009C248C"/>
    <w:rsid w:val="009C24CB"/>
    <w:rsid w:val="009C3073"/>
    <w:rsid w:val="009C31B0"/>
    <w:rsid w:val="009C3CE7"/>
    <w:rsid w:val="009C53A2"/>
    <w:rsid w:val="009C6ADF"/>
    <w:rsid w:val="009C72C0"/>
    <w:rsid w:val="009C75C1"/>
    <w:rsid w:val="009C75E1"/>
    <w:rsid w:val="009C79E0"/>
    <w:rsid w:val="009C7CA3"/>
    <w:rsid w:val="009C7EFB"/>
    <w:rsid w:val="009D0510"/>
    <w:rsid w:val="009D06AF"/>
    <w:rsid w:val="009D09F5"/>
    <w:rsid w:val="009D0E99"/>
    <w:rsid w:val="009D1511"/>
    <w:rsid w:val="009D178E"/>
    <w:rsid w:val="009D1AB4"/>
    <w:rsid w:val="009D37CF"/>
    <w:rsid w:val="009D4649"/>
    <w:rsid w:val="009D46D2"/>
    <w:rsid w:val="009D488A"/>
    <w:rsid w:val="009D53B5"/>
    <w:rsid w:val="009D57A8"/>
    <w:rsid w:val="009E006A"/>
    <w:rsid w:val="009E006F"/>
    <w:rsid w:val="009E0DAE"/>
    <w:rsid w:val="009E1E4E"/>
    <w:rsid w:val="009E1EF4"/>
    <w:rsid w:val="009E23AB"/>
    <w:rsid w:val="009E3F0D"/>
    <w:rsid w:val="009E6592"/>
    <w:rsid w:val="009E692D"/>
    <w:rsid w:val="009E70F3"/>
    <w:rsid w:val="009F0CF3"/>
    <w:rsid w:val="009F280A"/>
    <w:rsid w:val="009F2C4B"/>
    <w:rsid w:val="009F34E8"/>
    <w:rsid w:val="009F4B87"/>
    <w:rsid w:val="009F594B"/>
    <w:rsid w:val="009F5A33"/>
    <w:rsid w:val="009F6B4D"/>
    <w:rsid w:val="009F6E3C"/>
    <w:rsid w:val="009F7341"/>
    <w:rsid w:val="009F7820"/>
    <w:rsid w:val="009F7CB1"/>
    <w:rsid w:val="009F7FB9"/>
    <w:rsid w:val="00A000BC"/>
    <w:rsid w:val="00A00402"/>
    <w:rsid w:val="00A00653"/>
    <w:rsid w:val="00A00FD6"/>
    <w:rsid w:val="00A017C3"/>
    <w:rsid w:val="00A01FAF"/>
    <w:rsid w:val="00A0250B"/>
    <w:rsid w:val="00A03265"/>
    <w:rsid w:val="00A03F59"/>
    <w:rsid w:val="00A0594A"/>
    <w:rsid w:val="00A07606"/>
    <w:rsid w:val="00A07A9D"/>
    <w:rsid w:val="00A07B7F"/>
    <w:rsid w:val="00A12AA7"/>
    <w:rsid w:val="00A12BCA"/>
    <w:rsid w:val="00A137D5"/>
    <w:rsid w:val="00A13859"/>
    <w:rsid w:val="00A13E4A"/>
    <w:rsid w:val="00A13F60"/>
    <w:rsid w:val="00A143E8"/>
    <w:rsid w:val="00A1614E"/>
    <w:rsid w:val="00A16541"/>
    <w:rsid w:val="00A16EED"/>
    <w:rsid w:val="00A21698"/>
    <w:rsid w:val="00A21A04"/>
    <w:rsid w:val="00A24342"/>
    <w:rsid w:val="00A24C5F"/>
    <w:rsid w:val="00A26F7C"/>
    <w:rsid w:val="00A27712"/>
    <w:rsid w:val="00A32974"/>
    <w:rsid w:val="00A32A9E"/>
    <w:rsid w:val="00A32FA2"/>
    <w:rsid w:val="00A3442A"/>
    <w:rsid w:val="00A34670"/>
    <w:rsid w:val="00A34C85"/>
    <w:rsid w:val="00A368AF"/>
    <w:rsid w:val="00A36B23"/>
    <w:rsid w:val="00A36EFB"/>
    <w:rsid w:val="00A3734C"/>
    <w:rsid w:val="00A37C61"/>
    <w:rsid w:val="00A400B8"/>
    <w:rsid w:val="00A4025E"/>
    <w:rsid w:val="00A40978"/>
    <w:rsid w:val="00A41A2D"/>
    <w:rsid w:val="00A42159"/>
    <w:rsid w:val="00A43DF6"/>
    <w:rsid w:val="00A441BF"/>
    <w:rsid w:val="00A4661D"/>
    <w:rsid w:val="00A46C9C"/>
    <w:rsid w:val="00A47196"/>
    <w:rsid w:val="00A4725F"/>
    <w:rsid w:val="00A5031A"/>
    <w:rsid w:val="00A5069C"/>
    <w:rsid w:val="00A5096C"/>
    <w:rsid w:val="00A50EEB"/>
    <w:rsid w:val="00A53727"/>
    <w:rsid w:val="00A54F76"/>
    <w:rsid w:val="00A56B35"/>
    <w:rsid w:val="00A57A90"/>
    <w:rsid w:val="00A60B15"/>
    <w:rsid w:val="00A60FA4"/>
    <w:rsid w:val="00A61481"/>
    <w:rsid w:val="00A6159D"/>
    <w:rsid w:val="00A62003"/>
    <w:rsid w:val="00A639B1"/>
    <w:rsid w:val="00A639BA"/>
    <w:rsid w:val="00A64095"/>
    <w:rsid w:val="00A647F2"/>
    <w:rsid w:val="00A64991"/>
    <w:rsid w:val="00A650AE"/>
    <w:rsid w:val="00A65114"/>
    <w:rsid w:val="00A65B0E"/>
    <w:rsid w:val="00A65DE4"/>
    <w:rsid w:val="00A65E6D"/>
    <w:rsid w:val="00A6689C"/>
    <w:rsid w:val="00A668A8"/>
    <w:rsid w:val="00A66A0B"/>
    <w:rsid w:val="00A66B39"/>
    <w:rsid w:val="00A66DF4"/>
    <w:rsid w:val="00A700C0"/>
    <w:rsid w:val="00A702E9"/>
    <w:rsid w:val="00A7040D"/>
    <w:rsid w:val="00A705BB"/>
    <w:rsid w:val="00A70C4B"/>
    <w:rsid w:val="00A710F3"/>
    <w:rsid w:val="00A7201F"/>
    <w:rsid w:val="00A72049"/>
    <w:rsid w:val="00A72591"/>
    <w:rsid w:val="00A7286E"/>
    <w:rsid w:val="00A72BC4"/>
    <w:rsid w:val="00A72CC4"/>
    <w:rsid w:val="00A73CCD"/>
    <w:rsid w:val="00A751EE"/>
    <w:rsid w:val="00A760E8"/>
    <w:rsid w:val="00A772A8"/>
    <w:rsid w:val="00A77532"/>
    <w:rsid w:val="00A8020B"/>
    <w:rsid w:val="00A802C6"/>
    <w:rsid w:val="00A803D0"/>
    <w:rsid w:val="00A81848"/>
    <w:rsid w:val="00A8184F"/>
    <w:rsid w:val="00A8201A"/>
    <w:rsid w:val="00A82758"/>
    <w:rsid w:val="00A86354"/>
    <w:rsid w:val="00A86836"/>
    <w:rsid w:val="00A87B08"/>
    <w:rsid w:val="00A91376"/>
    <w:rsid w:val="00A91858"/>
    <w:rsid w:val="00A9317A"/>
    <w:rsid w:val="00A93963"/>
    <w:rsid w:val="00A95D92"/>
    <w:rsid w:val="00A9736A"/>
    <w:rsid w:val="00AA0AB2"/>
    <w:rsid w:val="00AA1185"/>
    <w:rsid w:val="00AA1CCD"/>
    <w:rsid w:val="00AA1F13"/>
    <w:rsid w:val="00AA4979"/>
    <w:rsid w:val="00AA4EFC"/>
    <w:rsid w:val="00AA5FBF"/>
    <w:rsid w:val="00AA663B"/>
    <w:rsid w:val="00AA6CD6"/>
    <w:rsid w:val="00AA6FBB"/>
    <w:rsid w:val="00AA745A"/>
    <w:rsid w:val="00AB09D8"/>
    <w:rsid w:val="00AB0A51"/>
    <w:rsid w:val="00AB11A3"/>
    <w:rsid w:val="00AB1513"/>
    <w:rsid w:val="00AB1C3B"/>
    <w:rsid w:val="00AB2C44"/>
    <w:rsid w:val="00AB530F"/>
    <w:rsid w:val="00AB5C7A"/>
    <w:rsid w:val="00AB6112"/>
    <w:rsid w:val="00AB65A8"/>
    <w:rsid w:val="00AB6D07"/>
    <w:rsid w:val="00AB73AD"/>
    <w:rsid w:val="00AB7F47"/>
    <w:rsid w:val="00AC021F"/>
    <w:rsid w:val="00AC057F"/>
    <w:rsid w:val="00AC2B22"/>
    <w:rsid w:val="00AC2CB7"/>
    <w:rsid w:val="00AC3528"/>
    <w:rsid w:val="00AC388E"/>
    <w:rsid w:val="00AC55F0"/>
    <w:rsid w:val="00AC571F"/>
    <w:rsid w:val="00AC5FE3"/>
    <w:rsid w:val="00AC7400"/>
    <w:rsid w:val="00AC7AF2"/>
    <w:rsid w:val="00AC7BB8"/>
    <w:rsid w:val="00AD1026"/>
    <w:rsid w:val="00AD1457"/>
    <w:rsid w:val="00AD153F"/>
    <w:rsid w:val="00AD1AB7"/>
    <w:rsid w:val="00AD1BD5"/>
    <w:rsid w:val="00AD20A3"/>
    <w:rsid w:val="00AD2680"/>
    <w:rsid w:val="00AD2F88"/>
    <w:rsid w:val="00AD3C33"/>
    <w:rsid w:val="00AD4706"/>
    <w:rsid w:val="00AD488E"/>
    <w:rsid w:val="00AD4932"/>
    <w:rsid w:val="00AD5C29"/>
    <w:rsid w:val="00AD695A"/>
    <w:rsid w:val="00AD6F36"/>
    <w:rsid w:val="00AD70E5"/>
    <w:rsid w:val="00AD74C8"/>
    <w:rsid w:val="00AD7C3F"/>
    <w:rsid w:val="00AD7F24"/>
    <w:rsid w:val="00AE031A"/>
    <w:rsid w:val="00AE04B6"/>
    <w:rsid w:val="00AE2009"/>
    <w:rsid w:val="00AE2247"/>
    <w:rsid w:val="00AE39F0"/>
    <w:rsid w:val="00AE3B4E"/>
    <w:rsid w:val="00AE44E0"/>
    <w:rsid w:val="00AE4FEE"/>
    <w:rsid w:val="00AE6019"/>
    <w:rsid w:val="00AE6C7D"/>
    <w:rsid w:val="00AF0D24"/>
    <w:rsid w:val="00AF1153"/>
    <w:rsid w:val="00AF12BE"/>
    <w:rsid w:val="00AF221D"/>
    <w:rsid w:val="00AF24A8"/>
    <w:rsid w:val="00AF2EDA"/>
    <w:rsid w:val="00AF32E5"/>
    <w:rsid w:val="00AF3625"/>
    <w:rsid w:val="00AF3F6D"/>
    <w:rsid w:val="00AF41C4"/>
    <w:rsid w:val="00AF446D"/>
    <w:rsid w:val="00AF5241"/>
    <w:rsid w:val="00AF6BCC"/>
    <w:rsid w:val="00AF73C3"/>
    <w:rsid w:val="00B0060B"/>
    <w:rsid w:val="00B011E9"/>
    <w:rsid w:val="00B01C7E"/>
    <w:rsid w:val="00B01DBD"/>
    <w:rsid w:val="00B032BE"/>
    <w:rsid w:val="00B03E91"/>
    <w:rsid w:val="00B11451"/>
    <w:rsid w:val="00B137BF"/>
    <w:rsid w:val="00B1391D"/>
    <w:rsid w:val="00B14138"/>
    <w:rsid w:val="00B142F8"/>
    <w:rsid w:val="00B15520"/>
    <w:rsid w:val="00B1564F"/>
    <w:rsid w:val="00B15F22"/>
    <w:rsid w:val="00B16857"/>
    <w:rsid w:val="00B17381"/>
    <w:rsid w:val="00B1739C"/>
    <w:rsid w:val="00B17633"/>
    <w:rsid w:val="00B2024F"/>
    <w:rsid w:val="00B20539"/>
    <w:rsid w:val="00B20D68"/>
    <w:rsid w:val="00B21217"/>
    <w:rsid w:val="00B2165E"/>
    <w:rsid w:val="00B21D33"/>
    <w:rsid w:val="00B21F29"/>
    <w:rsid w:val="00B22BD4"/>
    <w:rsid w:val="00B2345B"/>
    <w:rsid w:val="00B2380C"/>
    <w:rsid w:val="00B23C55"/>
    <w:rsid w:val="00B23FC4"/>
    <w:rsid w:val="00B241C6"/>
    <w:rsid w:val="00B243F2"/>
    <w:rsid w:val="00B24965"/>
    <w:rsid w:val="00B255A9"/>
    <w:rsid w:val="00B2693A"/>
    <w:rsid w:val="00B27E1E"/>
    <w:rsid w:val="00B30470"/>
    <w:rsid w:val="00B3083E"/>
    <w:rsid w:val="00B3145D"/>
    <w:rsid w:val="00B31851"/>
    <w:rsid w:val="00B31C84"/>
    <w:rsid w:val="00B3216D"/>
    <w:rsid w:val="00B32AFE"/>
    <w:rsid w:val="00B32E6A"/>
    <w:rsid w:val="00B33B62"/>
    <w:rsid w:val="00B33EC1"/>
    <w:rsid w:val="00B3661A"/>
    <w:rsid w:val="00B3722F"/>
    <w:rsid w:val="00B401E6"/>
    <w:rsid w:val="00B41052"/>
    <w:rsid w:val="00B410D7"/>
    <w:rsid w:val="00B43905"/>
    <w:rsid w:val="00B44F17"/>
    <w:rsid w:val="00B467A2"/>
    <w:rsid w:val="00B46DD2"/>
    <w:rsid w:val="00B46ED4"/>
    <w:rsid w:val="00B46FC3"/>
    <w:rsid w:val="00B47731"/>
    <w:rsid w:val="00B521FC"/>
    <w:rsid w:val="00B52CBF"/>
    <w:rsid w:val="00B53042"/>
    <w:rsid w:val="00B547F0"/>
    <w:rsid w:val="00B55425"/>
    <w:rsid w:val="00B55839"/>
    <w:rsid w:val="00B5672A"/>
    <w:rsid w:val="00B572FB"/>
    <w:rsid w:val="00B57826"/>
    <w:rsid w:val="00B579C6"/>
    <w:rsid w:val="00B603DD"/>
    <w:rsid w:val="00B62548"/>
    <w:rsid w:val="00B62FC5"/>
    <w:rsid w:val="00B63E3A"/>
    <w:rsid w:val="00B64F26"/>
    <w:rsid w:val="00B653EA"/>
    <w:rsid w:val="00B663C4"/>
    <w:rsid w:val="00B66BAB"/>
    <w:rsid w:val="00B6767E"/>
    <w:rsid w:val="00B67733"/>
    <w:rsid w:val="00B717DE"/>
    <w:rsid w:val="00B7186F"/>
    <w:rsid w:val="00B719EA"/>
    <w:rsid w:val="00B724FE"/>
    <w:rsid w:val="00B72CE2"/>
    <w:rsid w:val="00B737ED"/>
    <w:rsid w:val="00B7406B"/>
    <w:rsid w:val="00B7651E"/>
    <w:rsid w:val="00B76C05"/>
    <w:rsid w:val="00B77764"/>
    <w:rsid w:val="00B77D8D"/>
    <w:rsid w:val="00B809E0"/>
    <w:rsid w:val="00B81393"/>
    <w:rsid w:val="00B81672"/>
    <w:rsid w:val="00B818ED"/>
    <w:rsid w:val="00B8283A"/>
    <w:rsid w:val="00B846C5"/>
    <w:rsid w:val="00B854AA"/>
    <w:rsid w:val="00B85ED4"/>
    <w:rsid w:val="00B86FF6"/>
    <w:rsid w:val="00B871BA"/>
    <w:rsid w:val="00B872A8"/>
    <w:rsid w:val="00B913F0"/>
    <w:rsid w:val="00B91726"/>
    <w:rsid w:val="00B92931"/>
    <w:rsid w:val="00B92B24"/>
    <w:rsid w:val="00B935EF"/>
    <w:rsid w:val="00B93673"/>
    <w:rsid w:val="00B93A7E"/>
    <w:rsid w:val="00B947B0"/>
    <w:rsid w:val="00B94FAD"/>
    <w:rsid w:val="00B96E28"/>
    <w:rsid w:val="00B970DD"/>
    <w:rsid w:val="00BA048B"/>
    <w:rsid w:val="00BA091A"/>
    <w:rsid w:val="00BA15F9"/>
    <w:rsid w:val="00BA1641"/>
    <w:rsid w:val="00BA3740"/>
    <w:rsid w:val="00BA3E81"/>
    <w:rsid w:val="00BA6432"/>
    <w:rsid w:val="00BA69D9"/>
    <w:rsid w:val="00BA77E8"/>
    <w:rsid w:val="00BA7B73"/>
    <w:rsid w:val="00BB045D"/>
    <w:rsid w:val="00BB053F"/>
    <w:rsid w:val="00BB07E7"/>
    <w:rsid w:val="00BB1058"/>
    <w:rsid w:val="00BB11C0"/>
    <w:rsid w:val="00BB2333"/>
    <w:rsid w:val="00BB57BC"/>
    <w:rsid w:val="00BB5C0D"/>
    <w:rsid w:val="00BB74B5"/>
    <w:rsid w:val="00BB7A34"/>
    <w:rsid w:val="00BB7CBD"/>
    <w:rsid w:val="00BC2E33"/>
    <w:rsid w:val="00BC3EB1"/>
    <w:rsid w:val="00BC4D80"/>
    <w:rsid w:val="00BC4F6C"/>
    <w:rsid w:val="00BC5B6C"/>
    <w:rsid w:val="00BC6BCA"/>
    <w:rsid w:val="00BC778E"/>
    <w:rsid w:val="00BD09CB"/>
    <w:rsid w:val="00BD10D2"/>
    <w:rsid w:val="00BD1AB5"/>
    <w:rsid w:val="00BD1EB5"/>
    <w:rsid w:val="00BD222A"/>
    <w:rsid w:val="00BD229A"/>
    <w:rsid w:val="00BD28F6"/>
    <w:rsid w:val="00BD370D"/>
    <w:rsid w:val="00BD3C66"/>
    <w:rsid w:val="00BD4353"/>
    <w:rsid w:val="00BD5733"/>
    <w:rsid w:val="00BE04B2"/>
    <w:rsid w:val="00BE12EA"/>
    <w:rsid w:val="00BE19AD"/>
    <w:rsid w:val="00BE1BE0"/>
    <w:rsid w:val="00BE4384"/>
    <w:rsid w:val="00BE46E1"/>
    <w:rsid w:val="00BE4E40"/>
    <w:rsid w:val="00BE4FD8"/>
    <w:rsid w:val="00BE576D"/>
    <w:rsid w:val="00BE5908"/>
    <w:rsid w:val="00BE69C1"/>
    <w:rsid w:val="00BE6F16"/>
    <w:rsid w:val="00BE7676"/>
    <w:rsid w:val="00BE7AE9"/>
    <w:rsid w:val="00BE7E74"/>
    <w:rsid w:val="00BF0B77"/>
    <w:rsid w:val="00BF0D4F"/>
    <w:rsid w:val="00BF1048"/>
    <w:rsid w:val="00BF113C"/>
    <w:rsid w:val="00BF203C"/>
    <w:rsid w:val="00BF2F40"/>
    <w:rsid w:val="00BF3EAD"/>
    <w:rsid w:val="00BF4886"/>
    <w:rsid w:val="00BF49D3"/>
    <w:rsid w:val="00BF6140"/>
    <w:rsid w:val="00BF6192"/>
    <w:rsid w:val="00BF6E97"/>
    <w:rsid w:val="00C0047A"/>
    <w:rsid w:val="00C00705"/>
    <w:rsid w:val="00C01058"/>
    <w:rsid w:val="00C02394"/>
    <w:rsid w:val="00C03BCC"/>
    <w:rsid w:val="00C044E4"/>
    <w:rsid w:val="00C054A0"/>
    <w:rsid w:val="00C05A9F"/>
    <w:rsid w:val="00C06931"/>
    <w:rsid w:val="00C069AD"/>
    <w:rsid w:val="00C06BAC"/>
    <w:rsid w:val="00C07D27"/>
    <w:rsid w:val="00C10CC2"/>
    <w:rsid w:val="00C11C07"/>
    <w:rsid w:val="00C1240B"/>
    <w:rsid w:val="00C1255E"/>
    <w:rsid w:val="00C133C1"/>
    <w:rsid w:val="00C135CC"/>
    <w:rsid w:val="00C13CD8"/>
    <w:rsid w:val="00C13D10"/>
    <w:rsid w:val="00C15BCA"/>
    <w:rsid w:val="00C16302"/>
    <w:rsid w:val="00C16E05"/>
    <w:rsid w:val="00C16F24"/>
    <w:rsid w:val="00C17031"/>
    <w:rsid w:val="00C175A9"/>
    <w:rsid w:val="00C17BF2"/>
    <w:rsid w:val="00C17FA5"/>
    <w:rsid w:val="00C2073D"/>
    <w:rsid w:val="00C20A5A"/>
    <w:rsid w:val="00C20D97"/>
    <w:rsid w:val="00C21781"/>
    <w:rsid w:val="00C22084"/>
    <w:rsid w:val="00C2280F"/>
    <w:rsid w:val="00C22B3A"/>
    <w:rsid w:val="00C22FDB"/>
    <w:rsid w:val="00C23BD6"/>
    <w:rsid w:val="00C24B01"/>
    <w:rsid w:val="00C24DED"/>
    <w:rsid w:val="00C24FE3"/>
    <w:rsid w:val="00C2641B"/>
    <w:rsid w:val="00C27449"/>
    <w:rsid w:val="00C30391"/>
    <w:rsid w:val="00C303B4"/>
    <w:rsid w:val="00C3200D"/>
    <w:rsid w:val="00C32AAD"/>
    <w:rsid w:val="00C32F72"/>
    <w:rsid w:val="00C33A37"/>
    <w:rsid w:val="00C36996"/>
    <w:rsid w:val="00C40002"/>
    <w:rsid w:val="00C40131"/>
    <w:rsid w:val="00C40B3A"/>
    <w:rsid w:val="00C40C8D"/>
    <w:rsid w:val="00C40CFF"/>
    <w:rsid w:val="00C41384"/>
    <w:rsid w:val="00C4193B"/>
    <w:rsid w:val="00C42556"/>
    <w:rsid w:val="00C43CB8"/>
    <w:rsid w:val="00C44EAB"/>
    <w:rsid w:val="00C455DE"/>
    <w:rsid w:val="00C45731"/>
    <w:rsid w:val="00C45A65"/>
    <w:rsid w:val="00C4613B"/>
    <w:rsid w:val="00C462A3"/>
    <w:rsid w:val="00C46319"/>
    <w:rsid w:val="00C47B37"/>
    <w:rsid w:val="00C50507"/>
    <w:rsid w:val="00C506A8"/>
    <w:rsid w:val="00C50B7D"/>
    <w:rsid w:val="00C50CA9"/>
    <w:rsid w:val="00C515C5"/>
    <w:rsid w:val="00C51B61"/>
    <w:rsid w:val="00C52109"/>
    <w:rsid w:val="00C525B4"/>
    <w:rsid w:val="00C52DDB"/>
    <w:rsid w:val="00C531D4"/>
    <w:rsid w:val="00C535F5"/>
    <w:rsid w:val="00C53616"/>
    <w:rsid w:val="00C53715"/>
    <w:rsid w:val="00C5454F"/>
    <w:rsid w:val="00C54C5F"/>
    <w:rsid w:val="00C55CA4"/>
    <w:rsid w:val="00C56BA1"/>
    <w:rsid w:val="00C605D1"/>
    <w:rsid w:val="00C61947"/>
    <w:rsid w:val="00C62156"/>
    <w:rsid w:val="00C6225F"/>
    <w:rsid w:val="00C629D8"/>
    <w:rsid w:val="00C63A77"/>
    <w:rsid w:val="00C64709"/>
    <w:rsid w:val="00C64731"/>
    <w:rsid w:val="00C64EFD"/>
    <w:rsid w:val="00C64F8A"/>
    <w:rsid w:val="00C66D77"/>
    <w:rsid w:val="00C705DA"/>
    <w:rsid w:val="00C70F01"/>
    <w:rsid w:val="00C71D78"/>
    <w:rsid w:val="00C72511"/>
    <w:rsid w:val="00C72C91"/>
    <w:rsid w:val="00C74220"/>
    <w:rsid w:val="00C74609"/>
    <w:rsid w:val="00C74943"/>
    <w:rsid w:val="00C76701"/>
    <w:rsid w:val="00C8092F"/>
    <w:rsid w:val="00C809C0"/>
    <w:rsid w:val="00C8126C"/>
    <w:rsid w:val="00C81531"/>
    <w:rsid w:val="00C8178F"/>
    <w:rsid w:val="00C8209E"/>
    <w:rsid w:val="00C8349E"/>
    <w:rsid w:val="00C83954"/>
    <w:rsid w:val="00C83BDB"/>
    <w:rsid w:val="00C85CD7"/>
    <w:rsid w:val="00C860E6"/>
    <w:rsid w:val="00C878C5"/>
    <w:rsid w:val="00C903E3"/>
    <w:rsid w:val="00C9086F"/>
    <w:rsid w:val="00C915C8"/>
    <w:rsid w:val="00C91C94"/>
    <w:rsid w:val="00C92793"/>
    <w:rsid w:val="00C9301D"/>
    <w:rsid w:val="00C93E20"/>
    <w:rsid w:val="00C94605"/>
    <w:rsid w:val="00C947AB"/>
    <w:rsid w:val="00C951EB"/>
    <w:rsid w:val="00C953FF"/>
    <w:rsid w:val="00C95B16"/>
    <w:rsid w:val="00C9603A"/>
    <w:rsid w:val="00C96772"/>
    <w:rsid w:val="00C97359"/>
    <w:rsid w:val="00CA01C9"/>
    <w:rsid w:val="00CA0434"/>
    <w:rsid w:val="00CA1709"/>
    <w:rsid w:val="00CA1A89"/>
    <w:rsid w:val="00CA1C67"/>
    <w:rsid w:val="00CA328B"/>
    <w:rsid w:val="00CA4377"/>
    <w:rsid w:val="00CA44D7"/>
    <w:rsid w:val="00CA486C"/>
    <w:rsid w:val="00CA552E"/>
    <w:rsid w:val="00CA5732"/>
    <w:rsid w:val="00CA5C5C"/>
    <w:rsid w:val="00CA62EC"/>
    <w:rsid w:val="00CA7905"/>
    <w:rsid w:val="00CA7CCE"/>
    <w:rsid w:val="00CB01AA"/>
    <w:rsid w:val="00CB117E"/>
    <w:rsid w:val="00CB11BA"/>
    <w:rsid w:val="00CB14C0"/>
    <w:rsid w:val="00CB1BD1"/>
    <w:rsid w:val="00CB372E"/>
    <w:rsid w:val="00CB3F0E"/>
    <w:rsid w:val="00CB48FB"/>
    <w:rsid w:val="00CB622E"/>
    <w:rsid w:val="00CB6980"/>
    <w:rsid w:val="00CB6BAB"/>
    <w:rsid w:val="00CB7483"/>
    <w:rsid w:val="00CC00FB"/>
    <w:rsid w:val="00CC035A"/>
    <w:rsid w:val="00CC0CB8"/>
    <w:rsid w:val="00CC128D"/>
    <w:rsid w:val="00CC191B"/>
    <w:rsid w:val="00CC2016"/>
    <w:rsid w:val="00CC27E1"/>
    <w:rsid w:val="00CC34E6"/>
    <w:rsid w:val="00CC3608"/>
    <w:rsid w:val="00CC5A6A"/>
    <w:rsid w:val="00CC5C22"/>
    <w:rsid w:val="00CC6658"/>
    <w:rsid w:val="00CD0056"/>
    <w:rsid w:val="00CD00CF"/>
    <w:rsid w:val="00CD1E03"/>
    <w:rsid w:val="00CD314F"/>
    <w:rsid w:val="00CD374E"/>
    <w:rsid w:val="00CD37BE"/>
    <w:rsid w:val="00CD4C93"/>
    <w:rsid w:val="00CD50E7"/>
    <w:rsid w:val="00CD58DB"/>
    <w:rsid w:val="00CD5A63"/>
    <w:rsid w:val="00CD6115"/>
    <w:rsid w:val="00CD6768"/>
    <w:rsid w:val="00CD6E14"/>
    <w:rsid w:val="00CD78A3"/>
    <w:rsid w:val="00CD7D86"/>
    <w:rsid w:val="00CD7FAB"/>
    <w:rsid w:val="00CE0398"/>
    <w:rsid w:val="00CE21AB"/>
    <w:rsid w:val="00CE277F"/>
    <w:rsid w:val="00CE287B"/>
    <w:rsid w:val="00CE31EA"/>
    <w:rsid w:val="00CE52B8"/>
    <w:rsid w:val="00CE56FE"/>
    <w:rsid w:val="00CE6816"/>
    <w:rsid w:val="00CF08D8"/>
    <w:rsid w:val="00CF11D1"/>
    <w:rsid w:val="00CF186F"/>
    <w:rsid w:val="00CF1DE5"/>
    <w:rsid w:val="00CF1E53"/>
    <w:rsid w:val="00CF21E7"/>
    <w:rsid w:val="00CF2C7D"/>
    <w:rsid w:val="00CF490E"/>
    <w:rsid w:val="00CF4DD4"/>
    <w:rsid w:val="00CF4FE5"/>
    <w:rsid w:val="00CF533D"/>
    <w:rsid w:val="00CF5E0F"/>
    <w:rsid w:val="00CF6834"/>
    <w:rsid w:val="00CF6FBA"/>
    <w:rsid w:val="00D001CD"/>
    <w:rsid w:val="00D00AD7"/>
    <w:rsid w:val="00D014EF"/>
    <w:rsid w:val="00D016E2"/>
    <w:rsid w:val="00D02E43"/>
    <w:rsid w:val="00D02E9F"/>
    <w:rsid w:val="00D02EE6"/>
    <w:rsid w:val="00D036A5"/>
    <w:rsid w:val="00D03DEB"/>
    <w:rsid w:val="00D04F76"/>
    <w:rsid w:val="00D051DC"/>
    <w:rsid w:val="00D05B96"/>
    <w:rsid w:val="00D1021D"/>
    <w:rsid w:val="00D10A39"/>
    <w:rsid w:val="00D116FB"/>
    <w:rsid w:val="00D11C2E"/>
    <w:rsid w:val="00D12EFE"/>
    <w:rsid w:val="00D139A2"/>
    <w:rsid w:val="00D14A6F"/>
    <w:rsid w:val="00D14DE7"/>
    <w:rsid w:val="00D16BF2"/>
    <w:rsid w:val="00D1706A"/>
    <w:rsid w:val="00D21095"/>
    <w:rsid w:val="00D21F53"/>
    <w:rsid w:val="00D22812"/>
    <w:rsid w:val="00D2374D"/>
    <w:rsid w:val="00D25324"/>
    <w:rsid w:val="00D25F25"/>
    <w:rsid w:val="00D27021"/>
    <w:rsid w:val="00D27AE2"/>
    <w:rsid w:val="00D31BD7"/>
    <w:rsid w:val="00D34A09"/>
    <w:rsid w:val="00D34F39"/>
    <w:rsid w:val="00D35CB6"/>
    <w:rsid w:val="00D3764B"/>
    <w:rsid w:val="00D37929"/>
    <w:rsid w:val="00D444A0"/>
    <w:rsid w:val="00D45D8A"/>
    <w:rsid w:val="00D479E2"/>
    <w:rsid w:val="00D50B22"/>
    <w:rsid w:val="00D52479"/>
    <w:rsid w:val="00D53777"/>
    <w:rsid w:val="00D54DB8"/>
    <w:rsid w:val="00D54E7E"/>
    <w:rsid w:val="00D54EFC"/>
    <w:rsid w:val="00D54FCC"/>
    <w:rsid w:val="00D5509E"/>
    <w:rsid w:val="00D552ED"/>
    <w:rsid w:val="00D561F6"/>
    <w:rsid w:val="00D5713F"/>
    <w:rsid w:val="00D575C8"/>
    <w:rsid w:val="00D64017"/>
    <w:rsid w:val="00D649F9"/>
    <w:rsid w:val="00D64BCE"/>
    <w:rsid w:val="00D64F8E"/>
    <w:rsid w:val="00D65D6E"/>
    <w:rsid w:val="00D65F06"/>
    <w:rsid w:val="00D664D4"/>
    <w:rsid w:val="00D669C3"/>
    <w:rsid w:val="00D6781D"/>
    <w:rsid w:val="00D67D0F"/>
    <w:rsid w:val="00D67E36"/>
    <w:rsid w:val="00D71017"/>
    <w:rsid w:val="00D71AD7"/>
    <w:rsid w:val="00D730B1"/>
    <w:rsid w:val="00D7382C"/>
    <w:rsid w:val="00D73D1D"/>
    <w:rsid w:val="00D75393"/>
    <w:rsid w:val="00D75EF8"/>
    <w:rsid w:val="00D77508"/>
    <w:rsid w:val="00D8076C"/>
    <w:rsid w:val="00D8170F"/>
    <w:rsid w:val="00D81AD0"/>
    <w:rsid w:val="00D82815"/>
    <w:rsid w:val="00D82AE9"/>
    <w:rsid w:val="00D85420"/>
    <w:rsid w:val="00D900A1"/>
    <w:rsid w:val="00D90427"/>
    <w:rsid w:val="00D909AB"/>
    <w:rsid w:val="00D90F13"/>
    <w:rsid w:val="00D912DE"/>
    <w:rsid w:val="00D91BFF"/>
    <w:rsid w:val="00D922F5"/>
    <w:rsid w:val="00D92CD8"/>
    <w:rsid w:val="00D92D8B"/>
    <w:rsid w:val="00D9388E"/>
    <w:rsid w:val="00D93A6C"/>
    <w:rsid w:val="00D93EF3"/>
    <w:rsid w:val="00D94E75"/>
    <w:rsid w:val="00D9673D"/>
    <w:rsid w:val="00D96949"/>
    <w:rsid w:val="00D97258"/>
    <w:rsid w:val="00D978B3"/>
    <w:rsid w:val="00DA0F9E"/>
    <w:rsid w:val="00DA10A7"/>
    <w:rsid w:val="00DA1AC7"/>
    <w:rsid w:val="00DA1F5F"/>
    <w:rsid w:val="00DA300C"/>
    <w:rsid w:val="00DA3AC8"/>
    <w:rsid w:val="00DA4B08"/>
    <w:rsid w:val="00DA5952"/>
    <w:rsid w:val="00DA6223"/>
    <w:rsid w:val="00DA652C"/>
    <w:rsid w:val="00DA666D"/>
    <w:rsid w:val="00DA7251"/>
    <w:rsid w:val="00DA7978"/>
    <w:rsid w:val="00DB0FEC"/>
    <w:rsid w:val="00DB12DB"/>
    <w:rsid w:val="00DB179C"/>
    <w:rsid w:val="00DB223E"/>
    <w:rsid w:val="00DB2497"/>
    <w:rsid w:val="00DB2E57"/>
    <w:rsid w:val="00DB328B"/>
    <w:rsid w:val="00DB425A"/>
    <w:rsid w:val="00DB78E0"/>
    <w:rsid w:val="00DB7F02"/>
    <w:rsid w:val="00DC015E"/>
    <w:rsid w:val="00DC061D"/>
    <w:rsid w:val="00DC2A59"/>
    <w:rsid w:val="00DC3293"/>
    <w:rsid w:val="00DC53E8"/>
    <w:rsid w:val="00DC55FE"/>
    <w:rsid w:val="00DC6608"/>
    <w:rsid w:val="00DC7188"/>
    <w:rsid w:val="00DC7C89"/>
    <w:rsid w:val="00DD01A1"/>
    <w:rsid w:val="00DD02A4"/>
    <w:rsid w:val="00DD0355"/>
    <w:rsid w:val="00DD04D8"/>
    <w:rsid w:val="00DD054E"/>
    <w:rsid w:val="00DD079B"/>
    <w:rsid w:val="00DD0899"/>
    <w:rsid w:val="00DD2161"/>
    <w:rsid w:val="00DD28B4"/>
    <w:rsid w:val="00DD436A"/>
    <w:rsid w:val="00DD49B6"/>
    <w:rsid w:val="00DD50AF"/>
    <w:rsid w:val="00DD5E1D"/>
    <w:rsid w:val="00DD78C0"/>
    <w:rsid w:val="00DD7B32"/>
    <w:rsid w:val="00DE0FF0"/>
    <w:rsid w:val="00DE1EBB"/>
    <w:rsid w:val="00DE2240"/>
    <w:rsid w:val="00DE3B38"/>
    <w:rsid w:val="00DE5C53"/>
    <w:rsid w:val="00DE5EE6"/>
    <w:rsid w:val="00DE7B10"/>
    <w:rsid w:val="00DF204B"/>
    <w:rsid w:val="00DF2BEC"/>
    <w:rsid w:val="00DF39DB"/>
    <w:rsid w:val="00DF476B"/>
    <w:rsid w:val="00DF5682"/>
    <w:rsid w:val="00DF5A59"/>
    <w:rsid w:val="00DF6792"/>
    <w:rsid w:val="00DF6FCB"/>
    <w:rsid w:val="00DF7838"/>
    <w:rsid w:val="00E0050A"/>
    <w:rsid w:val="00E0073E"/>
    <w:rsid w:val="00E00800"/>
    <w:rsid w:val="00E017F5"/>
    <w:rsid w:val="00E02519"/>
    <w:rsid w:val="00E0273B"/>
    <w:rsid w:val="00E02E19"/>
    <w:rsid w:val="00E02F71"/>
    <w:rsid w:val="00E03220"/>
    <w:rsid w:val="00E0382C"/>
    <w:rsid w:val="00E03F4A"/>
    <w:rsid w:val="00E040A6"/>
    <w:rsid w:val="00E0488E"/>
    <w:rsid w:val="00E05A5B"/>
    <w:rsid w:val="00E0612A"/>
    <w:rsid w:val="00E069FA"/>
    <w:rsid w:val="00E1146D"/>
    <w:rsid w:val="00E1211A"/>
    <w:rsid w:val="00E12AFB"/>
    <w:rsid w:val="00E12C6A"/>
    <w:rsid w:val="00E134B4"/>
    <w:rsid w:val="00E140FC"/>
    <w:rsid w:val="00E1481C"/>
    <w:rsid w:val="00E14C5D"/>
    <w:rsid w:val="00E1501F"/>
    <w:rsid w:val="00E16D29"/>
    <w:rsid w:val="00E16F05"/>
    <w:rsid w:val="00E1730E"/>
    <w:rsid w:val="00E17C4B"/>
    <w:rsid w:val="00E20494"/>
    <w:rsid w:val="00E2067E"/>
    <w:rsid w:val="00E20F50"/>
    <w:rsid w:val="00E20FF8"/>
    <w:rsid w:val="00E23A28"/>
    <w:rsid w:val="00E23E35"/>
    <w:rsid w:val="00E24484"/>
    <w:rsid w:val="00E2650B"/>
    <w:rsid w:val="00E26F00"/>
    <w:rsid w:val="00E27F20"/>
    <w:rsid w:val="00E30796"/>
    <w:rsid w:val="00E31A5E"/>
    <w:rsid w:val="00E32463"/>
    <w:rsid w:val="00E32794"/>
    <w:rsid w:val="00E32B24"/>
    <w:rsid w:val="00E32C29"/>
    <w:rsid w:val="00E342D3"/>
    <w:rsid w:val="00E345BA"/>
    <w:rsid w:val="00E3496D"/>
    <w:rsid w:val="00E35C63"/>
    <w:rsid w:val="00E36B2B"/>
    <w:rsid w:val="00E37912"/>
    <w:rsid w:val="00E4052A"/>
    <w:rsid w:val="00E4057D"/>
    <w:rsid w:val="00E405C5"/>
    <w:rsid w:val="00E408AE"/>
    <w:rsid w:val="00E40F03"/>
    <w:rsid w:val="00E41262"/>
    <w:rsid w:val="00E41303"/>
    <w:rsid w:val="00E41AF7"/>
    <w:rsid w:val="00E41C84"/>
    <w:rsid w:val="00E4206A"/>
    <w:rsid w:val="00E422E8"/>
    <w:rsid w:val="00E4274B"/>
    <w:rsid w:val="00E43BC1"/>
    <w:rsid w:val="00E43E01"/>
    <w:rsid w:val="00E4541E"/>
    <w:rsid w:val="00E464DA"/>
    <w:rsid w:val="00E46632"/>
    <w:rsid w:val="00E470E1"/>
    <w:rsid w:val="00E475A9"/>
    <w:rsid w:val="00E478AF"/>
    <w:rsid w:val="00E51726"/>
    <w:rsid w:val="00E51C46"/>
    <w:rsid w:val="00E5316D"/>
    <w:rsid w:val="00E5367D"/>
    <w:rsid w:val="00E53DB9"/>
    <w:rsid w:val="00E540C1"/>
    <w:rsid w:val="00E547ED"/>
    <w:rsid w:val="00E54E11"/>
    <w:rsid w:val="00E54E3B"/>
    <w:rsid w:val="00E54E50"/>
    <w:rsid w:val="00E550CD"/>
    <w:rsid w:val="00E559F6"/>
    <w:rsid w:val="00E55C2E"/>
    <w:rsid w:val="00E55E42"/>
    <w:rsid w:val="00E55FAE"/>
    <w:rsid w:val="00E562BD"/>
    <w:rsid w:val="00E5664A"/>
    <w:rsid w:val="00E57CA2"/>
    <w:rsid w:val="00E57F1D"/>
    <w:rsid w:val="00E603A2"/>
    <w:rsid w:val="00E623CC"/>
    <w:rsid w:val="00E6274C"/>
    <w:rsid w:val="00E638F1"/>
    <w:rsid w:val="00E63E16"/>
    <w:rsid w:val="00E64798"/>
    <w:rsid w:val="00E649ED"/>
    <w:rsid w:val="00E66A3A"/>
    <w:rsid w:val="00E67099"/>
    <w:rsid w:val="00E67CDD"/>
    <w:rsid w:val="00E67FCA"/>
    <w:rsid w:val="00E7018D"/>
    <w:rsid w:val="00E703C8"/>
    <w:rsid w:val="00E71344"/>
    <w:rsid w:val="00E71EA4"/>
    <w:rsid w:val="00E74E28"/>
    <w:rsid w:val="00E75C00"/>
    <w:rsid w:val="00E75C47"/>
    <w:rsid w:val="00E76683"/>
    <w:rsid w:val="00E771EA"/>
    <w:rsid w:val="00E77C3F"/>
    <w:rsid w:val="00E8124D"/>
    <w:rsid w:val="00E8219E"/>
    <w:rsid w:val="00E84208"/>
    <w:rsid w:val="00E84355"/>
    <w:rsid w:val="00E8602D"/>
    <w:rsid w:val="00E86C8A"/>
    <w:rsid w:val="00E87C30"/>
    <w:rsid w:val="00E87D98"/>
    <w:rsid w:val="00E9194B"/>
    <w:rsid w:val="00E91D57"/>
    <w:rsid w:val="00E926E6"/>
    <w:rsid w:val="00E927E7"/>
    <w:rsid w:val="00E92D52"/>
    <w:rsid w:val="00E930D7"/>
    <w:rsid w:val="00E933FA"/>
    <w:rsid w:val="00E934E5"/>
    <w:rsid w:val="00E93638"/>
    <w:rsid w:val="00E93B42"/>
    <w:rsid w:val="00E957D9"/>
    <w:rsid w:val="00EA05D3"/>
    <w:rsid w:val="00EA0628"/>
    <w:rsid w:val="00EA09F4"/>
    <w:rsid w:val="00EA0F35"/>
    <w:rsid w:val="00EA2FD0"/>
    <w:rsid w:val="00EA3785"/>
    <w:rsid w:val="00EA3923"/>
    <w:rsid w:val="00EA3AAE"/>
    <w:rsid w:val="00EA3FAB"/>
    <w:rsid w:val="00EA4110"/>
    <w:rsid w:val="00EA4280"/>
    <w:rsid w:val="00EA465C"/>
    <w:rsid w:val="00EA5124"/>
    <w:rsid w:val="00EA6448"/>
    <w:rsid w:val="00EA6476"/>
    <w:rsid w:val="00EA68B2"/>
    <w:rsid w:val="00EA7D26"/>
    <w:rsid w:val="00EB00BE"/>
    <w:rsid w:val="00EB0348"/>
    <w:rsid w:val="00EB123D"/>
    <w:rsid w:val="00EB1D66"/>
    <w:rsid w:val="00EB3B1B"/>
    <w:rsid w:val="00EB3C48"/>
    <w:rsid w:val="00EB559F"/>
    <w:rsid w:val="00EB59DE"/>
    <w:rsid w:val="00EB5C8B"/>
    <w:rsid w:val="00EB5E62"/>
    <w:rsid w:val="00EB6111"/>
    <w:rsid w:val="00EB6825"/>
    <w:rsid w:val="00EB7A23"/>
    <w:rsid w:val="00EC04F6"/>
    <w:rsid w:val="00EC24F3"/>
    <w:rsid w:val="00EC4BDD"/>
    <w:rsid w:val="00EC666E"/>
    <w:rsid w:val="00EC68C9"/>
    <w:rsid w:val="00ED1BBE"/>
    <w:rsid w:val="00ED1ECE"/>
    <w:rsid w:val="00ED22E7"/>
    <w:rsid w:val="00ED3D27"/>
    <w:rsid w:val="00ED447E"/>
    <w:rsid w:val="00ED6D26"/>
    <w:rsid w:val="00EE00C5"/>
    <w:rsid w:val="00EE0512"/>
    <w:rsid w:val="00EE0535"/>
    <w:rsid w:val="00EE0C8D"/>
    <w:rsid w:val="00EE2396"/>
    <w:rsid w:val="00EE3039"/>
    <w:rsid w:val="00EE315D"/>
    <w:rsid w:val="00EE3732"/>
    <w:rsid w:val="00EE3738"/>
    <w:rsid w:val="00EE39A5"/>
    <w:rsid w:val="00EE3BB7"/>
    <w:rsid w:val="00EE4471"/>
    <w:rsid w:val="00EE4C56"/>
    <w:rsid w:val="00EE6E39"/>
    <w:rsid w:val="00EE74C9"/>
    <w:rsid w:val="00EF02D5"/>
    <w:rsid w:val="00EF1937"/>
    <w:rsid w:val="00EF2018"/>
    <w:rsid w:val="00EF3480"/>
    <w:rsid w:val="00EF3893"/>
    <w:rsid w:val="00EF420A"/>
    <w:rsid w:val="00EF47F3"/>
    <w:rsid w:val="00EF4AC4"/>
    <w:rsid w:val="00EF5D79"/>
    <w:rsid w:val="00EF6B8E"/>
    <w:rsid w:val="00EF7463"/>
    <w:rsid w:val="00EF7726"/>
    <w:rsid w:val="00EF7D98"/>
    <w:rsid w:val="00F00819"/>
    <w:rsid w:val="00F00A3E"/>
    <w:rsid w:val="00F00E6C"/>
    <w:rsid w:val="00F013F2"/>
    <w:rsid w:val="00F01A18"/>
    <w:rsid w:val="00F02657"/>
    <w:rsid w:val="00F02A10"/>
    <w:rsid w:val="00F03718"/>
    <w:rsid w:val="00F03960"/>
    <w:rsid w:val="00F04684"/>
    <w:rsid w:val="00F07BF3"/>
    <w:rsid w:val="00F10035"/>
    <w:rsid w:val="00F111F5"/>
    <w:rsid w:val="00F12E8B"/>
    <w:rsid w:val="00F12F12"/>
    <w:rsid w:val="00F13F63"/>
    <w:rsid w:val="00F146AA"/>
    <w:rsid w:val="00F15C1C"/>
    <w:rsid w:val="00F1682B"/>
    <w:rsid w:val="00F17CD9"/>
    <w:rsid w:val="00F21012"/>
    <w:rsid w:val="00F2183B"/>
    <w:rsid w:val="00F232EA"/>
    <w:rsid w:val="00F234CD"/>
    <w:rsid w:val="00F238CC"/>
    <w:rsid w:val="00F24CC5"/>
    <w:rsid w:val="00F24E32"/>
    <w:rsid w:val="00F25301"/>
    <w:rsid w:val="00F262D0"/>
    <w:rsid w:val="00F26572"/>
    <w:rsid w:val="00F266C8"/>
    <w:rsid w:val="00F311F1"/>
    <w:rsid w:val="00F34148"/>
    <w:rsid w:val="00F34CEB"/>
    <w:rsid w:val="00F35A7B"/>
    <w:rsid w:val="00F37D35"/>
    <w:rsid w:val="00F37D8D"/>
    <w:rsid w:val="00F40425"/>
    <w:rsid w:val="00F40BB4"/>
    <w:rsid w:val="00F41995"/>
    <w:rsid w:val="00F43298"/>
    <w:rsid w:val="00F437AE"/>
    <w:rsid w:val="00F441F7"/>
    <w:rsid w:val="00F44E0B"/>
    <w:rsid w:val="00F45467"/>
    <w:rsid w:val="00F45BCA"/>
    <w:rsid w:val="00F45D81"/>
    <w:rsid w:val="00F45F86"/>
    <w:rsid w:val="00F4665B"/>
    <w:rsid w:val="00F466D5"/>
    <w:rsid w:val="00F47625"/>
    <w:rsid w:val="00F51511"/>
    <w:rsid w:val="00F523AC"/>
    <w:rsid w:val="00F52EC6"/>
    <w:rsid w:val="00F53225"/>
    <w:rsid w:val="00F532AD"/>
    <w:rsid w:val="00F5485E"/>
    <w:rsid w:val="00F54A8F"/>
    <w:rsid w:val="00F54D0B"/>
    <w:rsid w:val="00F55948"/>
    <w:rsid w:val="00F5643C"/>
    <w:rsid w:val="00F566BA"/>
    <w:rsid w:val="00F576F1"/>
    <w:rsid w:val="00F57751"/>
    <w:rsid w:val="00F60BC7"/>
    <w:rsid w:val="00F62841"/>
    <w:rsid w:val="00F62EB9"/>
    <w:rsid w:val="00F64D14"/>
    <w:rsid w:val="00F66317"/>
    <w:rsid w:val="00F67511"/>
    <w:rsid w:val="00F67D21"/>
    <w:rsid w:val="00F70110"/>
    <w:rsid w:val="00F7026C"/>
    <w:rsid w:val="00F708E0"/>
    <w:rsid w:val="00F70D7A"/>
    <w:rsid w:val="00F7159F"/>
    <w:rsid w:val="00F72A80"/>
    <w:rsid w:val="00F72EA7"/>
    <w:rsid w:val="00F73C70"/>
    <w:rsid w:val="00F7420F"/>
    <w:rsid w:val="00F743CB"/>
    <w:rsid w:val="00F75339"/>
    <w:rsid w:val="00F76C80"/>
    <w:rsid w:val="00F77D01"/>
    <w:rsid w:val="00F8275D"/>
    <w:rsid w:val="00F83555"/>
    <w:rsid w:val="00F83DF6"/>
    <w:rsid w:val="00F84388"/>
    <w:rsid w:val="00F84470"/>
    <w:rsid w:val="00F85E79"/>
    <w:rsid w:val="00F867D4"/>
    <w:rsid w:val="00F8770F"/>
    <w:rsid w:val="00F90CEA"/>
    <w:rsid w:val="00F90D1A"/>
    <w:rsid w:val="00F92657"/>
    <w:rsid w:val="00F92B1D"/>
    <w:rsid w:val="00F92F35"/>
    <w:rsid w:val="00F958C0"/>
    <w:rsid w:val="00F95B0E"/>
    <w:rsid w:val="00F96048"/>
    <w:rsid w:val="00F968C9"/>
    <w:rsid w:val="00F97613"/>
    <w:rsid w:val="00F97709"/>
    <w:rsid w:val="00FA0C3A"/>
    <w:rsid w:val="00FA159F"/>
    <w:rsid w:val="00FA36D1"/>
    <w:rsid w:val="00FA4C4D"/>
    <w:rsid w:val="00FA5929"/>
    <w:rsid w:val="00FA5E38"/>
    <w:rsid w:val="00FA5E97"/>
    <w:rsid w:val="00FA69C9"/>
    <w:rsid w:val="00FA6AC1"/>
    <w:rsid w:val="00FA7517"/>
    <w:rsid w:val="00FA7E31"/>
    <w:rsid w:val="00FB0362"/>
    <w:rsid w:val="00FB2070"/>
    <w:rsid w:val="00FB5F83"/>
    <w:rsid w:val="00FB73F9"/>
    <w:rsid w:val="00FB755C"/>
    <w:rsid w:val="00FB7E7B"/>
    <w:rsid w:val="00FC0CF8"/>
    <w:rsid w:val="00FC0DAB"/>
    <w:rsid w:val="00FC1480"/>
    <w:rsid w:val="00FC1B8B"/>
    <w:rsid w:val="00FC328F"/>
    <w:rsid w:val="00FC3364"/>
    <w:rsid w:val="00FC4428"/>
    <w:rsid w:val="00FC58D9"/>
    <w:rsid w:val="00FC645B"/>
    <w:rsid w:val="00FC79A0"/>
    <w:rsid w:val="00FD0707"/>
    <w:rsid w:val="00FD1BFF"/>
    <w:rsid w:val="00FD24DF"/>
    <w:rsid w:val="00FD3091"/>
    <w:rsid w:val="00FD54BE"/>
    <w:rsid w:val="00FD5583"/>
    <w:rsid w:val="00FD5B62"/>
    <w:rsid w:val="00FD5C10"/>
    <w:rsid w:val="00FD682A"/>
    <w:rsid w:val="00FD792A"/>
    <w:rsid w:val="00FD7F09"/>
    <w:rsid w:val="00FE0058"/>
    <w:rsid w:val="00FE047E"/>
    <w:rsid w:val="00FE0CE0"/>
    <w:rsid w:val="00FE120F"/>
    <w:rsid w:val="00FE20EB"/>
    <w:rsid w:val="00FE211F"/>
    <w:rsid w:val="00FE22C8"/>
    <w:rsid w:val="00FE23D5"/>
    <w:rsid w:val="00FE2449"/>
    <w:rsid w:val="00FE24AB"/>
    <w:rsid w:val="00FE27E8"/>
    <w:rsid w:val="00FE2B6A"/>
    <w:rsid w:val="00FE35BB"/>
    <w:rsid w:val="00FE3F05"/>
    <w:rsid w:val="00FE4B60"/>
    <w:rsid w:val="00FE60AA"/>
    <w:rsid w:val="00FE6FE4"/>
    <w:rsid w:val="00FE7529"/>
    <w:rsid w:val="00FE797A"/>
    <w:rsid w:val="00FE7E09"/>
    <w:rsid w:val="00FE7FB2"/>
    <w:rsid w:val="00FF041A"/>
    <w:rsid w:val="00FF102B"/>
    <w:rsid w:val="00FF17B8"/>
    <w:rsid w:val="00FF3296"/>
    <w:rsid w:val="00FF45E1"/>
    <w:rsid w:val="00FF4726"/>
    <w:rsid w:val="00FF4A4F"/>
    <w:rsid w:val="00FF65EA"/>
    <w:rsid w:val="00FF6D44"/>
    <w:rsid w:val="00FF779B"/>
    <w:rsid w:val="00FF7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4:docId w14:val="0B655AB9"/>
  <w15:docId w15:val="{F7EAAFAD-A868-4921-B478-5B33011F7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365"/>
    <w:rPr>
      <w:rFonts w:ascii="Calibri" w:hAnsi="Calibri"/>
      <w:sz w:val="24"/>
      <w:szCs w:val="24"/>
    </w:rPr>
  </w:style>
  <w:style w:type="paragraph" w:styleId="Heading1">
    <w:name w:val="heading 1"/>
    <w:basedOn w:val="Normal"/>
    <w:next w:val="Normal"/>
    <w:link w:val="Heading1Char"/>
    <w:qFormat/>
    <w:rsid w:val="00411FC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411FC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qFormat/>
    <w:rsid w:val="00411FC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025E"/>
    <w:rPr>
      <w:rFonts w:ascii="Arial" w:hAnsi="Arial" w:cs="Arial"/>
      <w:b/>
      <w:bCs/>
      <w:kern w:val="32"/>
      <w:sz w:val="32"/>
      <w:szCs w:val="32"/>
      <w:lang w:val="en-US" w:eastAsia="en-US" w:bidi="ar-SA"/>
    </w:rPr>
  </w:style>
  <w:style w:type="character" w:customStyle="1" w:styleId="Heading2Char1">
    <w:name w:val="Heading 2 Char1"/>
    <w:link w:val="Heading2"/>
    <w:locked/>
    <w:rsid w:val="00283592"/>
    <w:rPr>
      <w:rFonts w:ascii="Arial" w:hAnsi="Arial" w:cs="Arial"/>
      <w:b/>
      <w:bCs/>
      <w:i/>
      <w:iCs/>
      <w:sz w:val="28"/>
      <w:szCs w:val="28"/>
      <w:lang w:val="en-US" w:eastAsia="en-US" w:bidi="ar-SA"/>
    </w:rPr>
  </w:style>
  <w:style w:type="character" w:customStyle="1" w:styleId="Heading3Char1">
    <w:name w:val="Heading 3 Char1"/>
    <w:link w:val="Heading3"/>
    <w:locked/>
    <w:rsid w:val="00411FC1"/>
    <w:rPr>
      <w:rFonts w:ascii="Arial" w:hAnsi="Arial" w:cs="Arial"/>
      <w:b/>
      <w:bCs/>
      <w:sz w:val="26"/>
      <w:szCs w:val="26"/>
      <w:lang w:val="en-US" w:eastAsia="en-US" w:bidi="ar-SA"/>
    </w:rPr>
  </w:style>
  <w:style w:type="paragraph" w:styleId="Footer">
    <w:name w:val="footer"/>
    <w:basedOn w:val="Normal"/>
    <w:rsid w:val="007F2912"/>
    <w:pPr>
      <w:tabs>
        <w:tab w:val="center" w:pos="4320"/>
        <w:tab w:val="right" w:pos="8640"/>
      </w:tabs>
    </w:pPr>
  </w:style>
  <w:style w:type="character" w:styleId="PageNumber">
    <w:name w:val="page number"/>
    <w:rsid w:val="007F2912"/>
    <w:rPr>
      <w:rFonts w:cs="Times New Roman"/>
    </w:rPr>
  </w:style>
  <w:style w:type="paragraph" w:styleId="FootnoteText">
    <w:name w:val="footnote text"/>
    <w:aliases w:val="Footnote Text1 Char,Footnote Text Char Ch"/>
    <w:basedOn w:val="Normal"/>
    <w:link w:val="FootnoteTextChar1"/>
    <w:rsid w:val="0094538D"/>
    <w:rPr>
      <w:rFonts w:ascii="Times New Roman" w:hAnsi="Times New Roman"/>
      <w:sz w:val="20"/>
      <w:szCs w:val="20"/>
    </w:rPr>
  </w:style>
  <w:style w:type="character" w:customStyle="1" w:styleId="FootnoteTextChar1">
    <w:name w:val="Footnote Text Char1"/>
    <w:aliases w:val="Footnote Text1 Char Char,Footnote Text Char Ch Char"/>
    <w:link w:val="FootnoteText"/>
    <w:locked/>
    <w:rsid w:val="008A3E42"/>
    <w:rPr>
      <w:rFonts w:cs="Times New Roman"/>
      <w:lang w:val="en-US" w:eastAsia="en-US" w:bidi="ar-SA"/>
    </w:rPr>
  </w:style>
  <w:style w:type="character" w:styleId="FootnoteReference">
    <w:name w:val="footnote reference"/>
    <w:aliases w:val="o"/>
    <w:rsid w:val="0094538D"/>
    <w:rPr>
      <w:rFonts w:cs="Times New Roman"/>
      <w:vertAlign w:val="superscript"/>
    </w:rPr>
  </w:style>
  <w:style w:type="paragraph" w:styleId="Header">
    <w:name w:val="header"/>
    <w:basedOn w:val="Normal"/>
    <w:rsid w:val="00484164"/>
    <w:pPr>
      <w:tabs>
        <w:tab w:val="center" w:pos="4320"/>
        <w:tab w:val="right" w:pos="8640"/>
      </w:tabs>
    </w:pPr>
  </w:style>
  <w:style w:type="paragraph" w:styleId="TOC1">
    <w:name w:val="toc 1"/>
    <w:basedOn w:val="Normal"/>
    <w:next w:val="Normal"/>
    <w:autoRedefine/>
    <w:uiPriority w:val="39"/>
    <w:rsid w:val="009D1511"/>
    <w:pPr>
      <w:tabs>
        <w:tab w:val="right" w:leader="dot" w:pos="8630"/>
      </w:tabs>
      <w:jc w:val="center"/>
    </w:pPr>
    <w:rPr>
      <w:b/>
    </w:rPr>
  </w:style>
  <w:style w:type="paragraph" w:styleId="TOC2">
    <w:name w:val="toc 2"/>
    <w:basedOn w:val="Normal"/>
    <w:next w:val="Normal"/>
    <w:autoRedefine/>
    <w:uiPriority w:val="39"/>
    <w:rsid w:val="000B5A5D"/>
    <w:pPr>
      <w:ind w:left="240"/>
    </w:pPr>
  </w:style>
  <w:style w:type="paragraph" w:styleId="TOC3">
    <w:name w:val="toc 3"/>
    <w:basedOn w:val="Normal"/>
    <w:next w:val="Normal"/>
    <w:autoRedefine/>
    <w:uiPriority w:val="39"/>
    <w:rsid w:val="000B35D6"/>
    <w:pPr>
      <w:tabs>
        <w:tab w:val="right" w:leader="dot" w:pos="8630"/>
      </w:tabs>
      <w:ind w:left="720"/>
    </w:pPr>
  </w:style>
  <w:style w:type="character" w:styleId="Hyperlink">
    <w:name w:val="Hyperlink"/>
    <w:uiPriority w:val="99"/>
    <w:rsid w:val="000B5A5D"/>
    <w:rPr>
      <w:rFonts w:cs="Times New Roman"/>
      <w:color w:val="0000FF"/>
      <w:u w:val="single"/>
    </w:rPr>
  </w:style>
  <w:style w:type="paragraph" w:styleId="Caption">
    <w:name w:val="caption"/>
    <w:basedOn w:val="Normal"/>
    <w:next w:val="Normal"/>
    <w:link w:val="CaptionChar"/>
    <w:qFormat/>
    <w:rsid w:val="006169CA"/>
    <w:rPr>
      <w:rFonts w:ascii="Times New Roman" w:hAnsi="Times New Roman"/>
      <w:b/>
      <w:bCs/>
      <w:sz w:val="20"/>
      <w:szCs w:val="20"/>
    </w:rPr>
  </w:style>
  <w:style w:type="character" w:customStyle="1" w:styleId="CaptionChar">
    <w:name w:val="Caption Char"/>
    <w:link w:val="Caption"/>
    <w:locked/>
    <w:rsid w:val="00283592"/>
    <w:rPr>
      <w:rFonts w:cs="Times New Roman"/>
      <w:b/>
      <w:bCs/>
      <w:lang w:val="en-US" w:eastAsia="en-US" w:bidi="ar-SA"/>
    </w:rPr>
  </w:style>
  <w:style w:type="paragraph" w:styleId="TableofFigures">
    <w:name w:val="table of figures"/>
    <w:basedOn w:val="Normal"/>
    <w:next w:val="Normal"/>
    <w:uiPriority w:val="99"/>
    <w:rsid w:val="006169CA"/>
  </w:style>
  <w:style w:type="paragraph" w:customStyle="1" w:styleId="TableCaption">
    <w:name w:val="Table Caption"/>
    <w:basedOn w:val="Caption"/>
    <w:link w:val="TableCaptionChar"/>
    <w:qFormat/>
    <w:rsid w:val="00477222"/>
    <w:pPr>
      <w:spacing w:after="120"/>
      <w:jc w:val="center"/>
    </w:pPr>
    <w:rPr>
      <w:rFonts w:ascii="Calibri" w:hAnsi="Calibri"/>
      <w:sz w:val="24"/>
    </w:rPr>
  </w:style>
  <w:style w:type="character" w:customStyle="1" w:styleId="TableCaptionChar">
    <w:name w:val="Table Caption Char"/>
    <w:link w:val="TableCaption"/>
    <w:locked/>
    <w:rsid w:val="00477222"/>
    <w:rPr>
      <w:rFonts w:ascii="Calibri" w:hAnsi="Calibri"/>
      <w:b/>
      <w:bCs/>
      <w:sz w:val="24"/>
    </w:rPr>
  </w:style>
  <w:style w:type="paragraph" w:customStyle="1" w:styleId="FigureCaption">
    <w:name w:val="Figure Caption"/>
    <w:basedOn w:val="TableCaption"/>
    <w:link w:val="FigureCaptionChar"/>
    <w:qFormat/>
    <w:rsid w:val="0097115E"/>
  </w:style>
  <w:style w:type="character" w:customStyle="1" w:styleId="FigureCaptionChar">
    <w:name w:val="Figure Caption Char"/>
    <w:link w:val="FigureCaption"/>
    <w:locked/>
    <w:rsid w:val="0097115E"/>
    <w:rPr>
      <w:rFonts w:ascii="Calibri" w:hAnsi="Calibri"/>
      <w:b/>
      <w:bCs/>
      <w:sz w:val="24"/>
    </w:rPr>
  </w:style>
  <w:style w:type="paragraph" w:customStyle="1" w:styleId="EPRITitle">
    <w:name w:val="EPRI Title"/>
    <w:rsid w:val="00111FB1"/>
    <w:pPr>
      <w:spacing w:before="240" w:after="60"/>
      <w:ind w:left="1195" w:right="1195"/>
    </w:pPr>
    <w:rPr>
      <w:rFonts w:ascii="Helvetica" w:hAnsi="Helvetica"/>
      <w:b/>
      <w:sz w:val="40"/>
    </w:rPr>
  </w:style>
  <w:style w:type="paragraph" w:customStyle="1" w:styleId="EPRISubtitle">
    <w:name w:val="EPRI Subtitle"/>
    <w:rsid w:val="00111FB1"/>
    <w:pPr>
      <w:spacing w:after="60"/>
      <w:ind w:left="1195" w:right="1195"/>
    </w:pPr>
    <w:rPr>
      <w:rFonts w:ascii="Helvetica" w:hAnsi="Helvetica"/>
      <w:noProof/>
      <w:sz w:val="30"/>
    </w:rPr>
  </w:style>
  <w:style w:type="paragraph" w:customStyle="1" w:styleId="EPRIOI">
    <w:name w:val="EPRI OI#"/>
    <w:rsid w:val="00111FB1"/>
    <w:pPr>
      <w:spacing w:before="140" w:after="480"/>
      <w:ind w:left="1195" w:right="1195"/>
    </w:pPr>
    <w:rPr>
      <w:rFonts w:ascii="Helvetica" w:hAnsi="Helvetica"/>
      <w:b/>
      <w:sz w:val="24"/>
    </w:rPr>
  </w:style>
  <w:style w:type="paragraph" w:customStyle="1" w:styleId="EPRITitleText">
    <w:name w:val="EPRI Title Text"/>
    <w:rsid w:val="00111FB1"/>
    <w:pPr>
      <w:spacing w:before="140" w:after="1200"/>
      <w:ind w:left="1195" w:right="1195"/>
    </w:pPr>
    <w:rPr>
      <w:rFonts w:ascii="Helvetica" w:hAnsi="Helvetica"/>
      <w:sz w:val="24"/>
    </w:rPr>
  </w:style>
  <w:style w:type="paragraph" w:styleId="BalloonText">
    <w:name w:val="Balloon Text"/>
    <w:basedOn w:val="Normal"/>
    <w:semiHidden/>
    <w:rsid w:val="004F6104"/>
    <w:rPr>
      <w:rFonts w:ascii="Tahoma" w:hAnsi="Tahoma" w:cs="Tahoma"/>
      <w:sz w:val="16"/>
      <w:szCs w:val="16"/>
    </w:rPr>
  </w:style>
  <w:style w:type="table" w:styleId="TableGrid">
    <w:name w:val="Table Grid"/>
    <w:basedOn w:val="TableNormal"/>
    <w:rsid w:val="002E3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283592"/>
    <w:rPr>
      <w:rFonts w:ascii="Arial" w:hAnsi="Arial" w:cs="Arial"/>
      <w:b/>
      <w:bCs/>
      <w:sz w:val="26"/>
      <w:szCs w:val="26"/>
      <w:lang w:val="en-US" w:eastAsia="en-US" w:bidi="ar-SA"/>
    </w:rPr>
  </w:style>
  <w:style w:type="character" w:styleId="CommentReference">
    <w:name w:val="annotation reference"/>
    <w:rsid w:val="00A8020B"/>
    <w:rPr>
      <w:rFonts w:cs="Times New Roman"/>
      <w:sz w:val="16"/>
      <w:szCs w:val="16"/>
    </w:rPr>
  </w:style>
  <w:style w:type="paragraph" w:styleId="CommentText">
    <w:name w:val="annotation text"/>
    <w:basedOn w:val="Normal"/>
    <w:link w:val="CommentTextChar"/>
    <w:rsid w:val="00A8020B"/>
    <w:rPr>
      <w:rFonts w:ascii="Times New Roman" w:hAnsi="Times New Roman"/>
      <w:sz w:val="20"/>
      <w:szCs w:val="20"/>
      <w:lang w:val="x-none" w:eastAsia="x-none"/>
    </w:rPr>
  </w:style>
  <w:style w:type="character" w:customStyle="1" w:styleId="CommentTextChar">
    <w:name w:val="Comment Text Char"/>
    <w:link w:val="CommentText"/>
    <w:locked/>
    <w:rsid w:val="00A8020B"/>
    <w:rPr>
      <w:rFonts w:cs="Times New Roman"/>
    </w:rPr>
  </w:style>
  <w:style w:type="paragraph" w:styleId="CommentSubject">
    <w:name w:val="annotation subject"/>
    <w:basedOn w:val="CommentText"/>
    <w:next w:val="CommentText"/>
    <w:link w:val="CommentSubjectChar"/>
    <w:rsid w:val="00A8020B"/>
    <w:rPr>
      <w:b/>
      <w:bCs/>
    </w:rPr>
  </w:style>
  <w:style w:type="character" w:customStyle="1" w:styleId="CommentSubjectChar">
    <w:name w:val="Comment Subject Char"/>
    <w:link w:val="CommentSubject"/>
    <w:locked/>
    <w:rsid w:val="00A8020B"/>
    <w:rPr>
      <w:rFonts w:cs="Times New Roman"/>
      <w:b/>
      <w:bCs/>
    </w:rPr>
  </w:style>
  <w:style w:type="paragraph" w:styleId="EndnoteText">
    <w:name w:val="endnote text"/>
    <w:basedOn w:val="Normal"/>
    <w:link w:val="EndnoteTextChar"/>
    <w:rsid w:val="00363778"/>
    <w:rPr>
      <w:rFonts w:ascii="Times New Roman" w:hAnsi="Times New Roman"/>
      <w:sz w:val="20"/>
      <w:szCs w:val="20"/>
      <w:lang w:val="x-none" w:eastAsia="x-none"/>
    </w:rPr>
  </w:style>
  <w:style w:type="character" w:customStyle="1" w:styleId="EndnoteTextChar">
    <w:name w:val="Endnote Text Char"/>
    <w:link w:val="EndnoteText"/>
    <w:locked/>
    <w:rsid w:val="00363778"/>
    <w:rPr>
      <w:rFonts w:cs="Times New Roman"/>
    </w:rPr>
  </w:style>
  <w:style w:type="character" w:styleId="EndnoteReference">
    <w:name w:val="endnote reference"/>
    <w:rsid w:val="00363778"/>
    <w:rPr>
      <w:rFonts w:cs="Times New Roman"/>
      <w:vertAlign w:val="superscript"/>
    </w:rPr>
  </w:style>
  <w:style w:type="character" w:styleId="FollowedHyperlink">
    <w:name w:val="FollowedHyperlink"/>
    <w:rsid w:val="002F7583"/>
    <w:rPr>
      <w:color w:val="800080"/>
      <w:u w:val="single"/>
    </w:rPr>
  </w:style>
  <w:style w:type="character" w:customStyle="1" w:styleId="FootnoteTextChar">
    <w:name w:val="Footnote Text Char"/>
    <w:aliases w:val="Footnote Text1 Char Char1,Footnote Text Char Ch Char1"/>
    <w:uiPriority w:val="99"/>
    <w:rsid w:val="00002343"/>
    <w:rPr>
      <w:lang w:val="en-US" w:eastAsia="en-US" w:bidi="ar-SA"/>
    </w:rPr>
  </w:style>
  <w:style w:type="character" w:customStyle="1" w:styleId="Heading2Char">
    <w:name w:val="Heading 2 Char"/>
    <w:rsid w:val="00C54C5F"/>
    <w:rPr>
      <w:rFonts w:ascii="Arial" w:hAnsi="Arial" w:cs="Arial"/>
      <w:b/>
      <w:bCs/>
      <w:i/>
      <w:iCs/>
      <w:sz w:val="24"/>
      <w:szCs w:val="28"/>
      <w:lang w:val="en-US" w:eastAsia="en-US" w:bidi="ar-SA"/>
    </w:rPr>
  </w:style>
  <w:style w:type="paragraph" w:styleId="DocumentMap">
    <w:name w:val="Document Map"/>
    <w:basedOn w:val="Normal"/>
    <w:semiHidden/>
    <w:rsid w:val="000E553B"/>
    <w:pPr>
      <w:shd w:val="clear" w:color="auto" w:fill="000080"/>
    </w:pPr>
    <w:rPr>
      <w:rFonts w:ascii="Tahoma" w:hAnsi="Tahoma" w:cs="Tahoma"/>
      <w:sz w:val="20"/>
      <w:szCs w:val="20"/>
    </w:rPr>
  </w:style>
  <w:style w:type="paragraph" w:styleId="NormalWeb">
    <w:name w:val="Normal (Web)"/>
    <w:basedOn w:val="Normal"/>
    <w:uiPriority w:val="99"/>
    <w:unhideWhenUsed/>
    <w:rsid w:val="00530476"/>
    <w:pPr>
      <w:spacing w:before="100" w:beforeAutospacing="1" w:after="100" w:afterAutospacing="1"/>
    </w:pPr>
    <w:rPr>
      <w:rFonts w:ascii="Times New Roman" w:hAnsi="Times New Roman"/>
    </w:rPr>
  </w:style>
  <w:style w:type="paragraph" w:customStyle="1" w:styleId="TableHeader">
    <w:name w:val="Table Header"/>
    <w:qFormat/>
    <w:rsid w:val="008E5D4C"/>
    <w:pPr>
      <w:spacing w:before="100" w:after="100"/>
      <w:jc w:val="center"/>
    </w:pPr>
    <w:rPr>
      <w:rFonts w:ascii="Arial" w:eastAsia="Calibri" w:hAnsi="Arial"/>
      <w:b/>
      <w:color w:val="FFFFFF"/>
      <w:szCs w:val="22"/>
    </w:rPr>
  </w:style>
  <w:style w:type="paragraph" w:customStyle="1" w:styleId="TableText">
    <w:name w:val="Table Text"/>
    <w:qFormat/>
    <w:rsid w:val="008E5D4C"/>
    <w:pPr>
      <w:spacing w:before="60" w:after="60"/>
      <w:jc w:val="center"/>
    </w:pPr>
    <w:rPr>
      <w:rFonts w:ascii="Arial" w:eastAsia="Calibri"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5835024">
      <w:bodyDiv w:val="1"/>
      <w:marLeft w:val="0"/>
      <w:marRight w:val="0"/>
      <w:marTop w:val="0"/>
      <w:marBottom w:val="0"/>
      <w:divBdr>
        <w:top w:val="none" w:sz="0" w:space="0" w:color="auto"/>
        <w:left w:val="none" w:sz="0" w:space="0" w:color="auto"/>
        <w:bottom w:val="none" w:sz="0" w:space="0" w:color="auto"/>
        <w:right w:val="none" w:sz="0" w:space="0" w:color="auto"/>
      </w:divBdr>
    </w:div>
    <w:div w:id="15010497">
      <w:bodyDiv w:val="1"/>
      <w:marLeft w:val="0"/>
      <w:marRight w:val="0"/>
      <w:marTop w:val="0"/>
      <w:marBottom w:val="0"/>
      <w:divBdr>
        <w:top w:val="none" w:sz="0" w:space="0" w:color="auto"/>
        <w:left w:val="none" w:sz="0" w:space="0" w:color="auto"/>
        <w:bottom w:val="none" w:sz="0" w:space="0" w:color="auto"/>
        <w:right w:val="none" w:sz="0" w:space="0" w:color="auto"/>
      </w:divBdr>
    </w:div>
    <w:div w:id="107511727">
      <w:bodyDiv w:val="1"/>
      <w:marLeft w:val="0"/>
      <w:marRight w:val="0"/>
      <w:marTop w:val="0"/>
      <w:marBottom w:val="0"/>
      <w:divBdr>
        <w:top w:val="none" w:sz="0" w:space="0" w:color="auto"/>
        <w:left w:val="none" w:sz="0" w:space="0" w:color="auto"/>
        <w:bottom w:val="none" w:sz="0" w:space="0" w:color="auto"/>
        <w:right w:val="none" w:sz="0" w:space="0" w:color="auto"/>
      </w:divBdr>
    </w:div>
    <w:div w:id="179901336">
      <w:bodyDiv w:val="1"/>
      <w:marLeft w:val="0"/>
      <w:marRight w:val="0"/>
      <w:marTop w:val="0"/>
      <w:marBottom w:val="0"/>
      <w:divBdr>
        <w:top w:val="none" w:sz="0" w:space="0" w:color="auto"/>
        <w:left w:val="none" w:sz="0" w:space="0" w:color="auto"/>
        <w:bottom w:val="none" w:sz="0" w:space="0" w:color="auto"/>
        <w:right w:val="none" w:sz="0" w:space="0" w:color="auto"/>
      </w:divBdr>
    </w:div>
    <w:div w:id="376509589">
      <w:bodyDiv w:val="1"/>
      <w:marLeft w:val="0"/>
      <w:marRight w:val="0"/>
      <w:marTop w:val="0"/>
      <w:marBottom w:val="0"/>
      <w:divBdr>
        <w:top w:val="none" w:sz="0" w:space="0" w:color="auto"/>
        <w:left w:val="none" w:sz="0" w:space="0" w:color="auto"/>
        <w:bottom w:val="none" w:sz="0" w:space="0" w:color="auto"/>
        <w:right w:val="none" w:sz="0" w:space="0" w:color="auto"/>
      </w:divBdr>
    </w:div>
    <w:div w:id="463742627">
      <w:bodyDiv w:val="1"/>
      <w:marLeft w:val="0"/>
      <w:marRight w:val="0"/>
      <w:marTop w:val="0"/>
      <w:marBottom w:val="0"/>
      <w:divBdr>
        <w:top w:val="none" w:sz="0" w:space="0" w:color="auto"/>
        <w:left w:val="none" w:sz="0" w:space="0" w:color="auto"/>
        <w:bottom w:val="none" w:sz="0" w:space="0" w:color="auto"/>
        <w:right w:val="none" w:sz="0" w:space="0" w:color="auto"/>
      </w:divBdr>
    </w:div>
    <w:div w:id="624581929">
      <w:bodyDiv w:val="1"/>
      <w:marLeft w:val="0"/>
      <w:marRight w:val="0"/>
      <w:marTop w:val="0"/>
      <w:marBottom w:val="0"/>
      <w:divBdr>
        <w:top w:val="none" w:sz="0" w:space="0" w:color="auto"/>
        <w:left w:val="none" w:sz="0" w:space="0" w:color="auto"/>
        <w:bottom w:val="none" w:sz="0" w:space="0" w:color="auto"/>
        <w:right w:val="none" w:sz="0" w:space="0" w:color="auto"/>
      </w:divBdr>
    </w:div>
    <w:div w:id="805855984">
      <w:bodyDiv w:val="1"/>
      <w:marLeft w:val="0"/>
      <w:marRight w:val="0"/>
      <w:marTop w:val="0"/>
      <w:marBottom w:val="0"/>
      <w:divBdr>
        <w:top w:val="none" w:sz="0" w:space="0" w:color="auto"/>
        <w:left w:val="none" w:sz="0" w:space="0" w:color="auto"/>
        <w:bottom w:val="none" w:sz="0" w:space="0" w:color="auto"/>
        <w:right w:val="none" w:sz="0" w:space="0" w:color="auto"/>
      </w:divBdr>
    </w:div>
    <w:div w:id="1324700922">
      <w:bodyDiv w:val="1"/>
      <w:marLeft w:val="0"/>
      <w:marRight w:val="0"/>
      <w:marTop w:val="0"/>
      <w:marBottom w:val="0"/>
      <w:divBdr>
        <w:top w:val="none" w:sz="0" w:space="0" w:color="auto"/>
        <w:left w:val="none" w:sz="0" w:space="0" w:color="auto"/>
        <w:bottom w:val="none" w:sz="0" w:space="0" w:color="auto"/>
        <w:right w:val="none" w:sz="0" w:space="0" w:color="auto"/>
      </w:divBdr>
    </w:div>
    <w:div w:id="1676298165">
      <w:bodyDiv w:val="1"/>
      <w:marLeft w:val="0"/>
      <w:marRight w:val="0"/>
      <w:marTop w:val="0"/>
      <w:marBottom w:val="0"/>
      <w:divBdr>
        <w:top w:val="none" w:sz="0" w:space="0" w:color="auto"/>
        <w:left w:val="none" w:sz="0" w:space="0" w:color="auto"/>
        <w:bottom w:val="none" w:sz="0" w:space="0" w:color="auto"/>
        <w:right w:val="none" w:sz="0" w:space="0" w:color="auto"/>
      </w:divBdr>
    </w:div>
    <w:div w:id="1762944512">
      <w:bodyDiv w:val="1"/>
      <w:marLeft w:val="0"/>
      <w:marRight w:val="0"/>
      <w:marTop w:val="0"/>
      <w:marBottom w:val="0"/>
      <w:divBdr>
        <w:top w:val="none" w:sz="0" w:space="0" w:color="auto"/>
        <w:left w:val="none" w:sz="0" w:space="0" w:color="auto"/>
        <w:bottom w:val="none" w:sz="0" w:space="0" w:color="auto"/>
        <w:right w:val="none" w:sz="0" w:space="0" w:color="auto"/>
      </w:divBdr>
    </w:div>
    <w:div w:id="1941988133">
      <w:bodyDiv w:val="1"/>
      <w:marLeft w:val="0"/>
      <w:marRight w:val="0"/>
      <w:marTop w:val="0"/>
      <w:marBottom w:val="0"/>
      <w:divBdr>
        <w:top w:val="none" w:sz="0" w:space="0" w:color="auto"/>
        <w:left w:val="none" w:sz="0" w:space="0" w:color="auto"/>
        <w:bottom w:val="none" w:sz="0" w:space="0" w:color="auto"/>
        <w:right w:val="none" w:sz="0" w:space="0" w:color="auto"/>
      </w:divBdr>
    </w:div>
    <w:div w:id="2005476716">
      <w:bodyDiv w:val="1"/>
      <w:marLeft w:val="0"/>
      <w:marRight w:val="0"/>
      <w:marTop w:val="0"/>
      <w:marBottom w:val="0"/>
      <w:divBdr>
        <w:top w:val="none" w:sz="0" w:space="0" w:color="auto"/>
        <w:left w:val="none" w:sz="0" w:space="0" w:color="auto"/>
        <w:bottom w:val="none" w:sz="0" w:space="0" w:color="auto"/>
        <w:right w:val="none" w:sz="0" w:space="0" w:color="auto"/>
      </w:divBdr>
    </w:div>
    <w:div w:id="204894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chart" Target="charts/chart1.xml"/><Relationship Id="rId26" Type="http://schemas.openxmlformats.org/officeDocument/2006/relationships/chart" Target="charts/chart6.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3.xml"/><Relationship Id="rId34"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emf"/><Relationship Id="rId25" Type="http://schemas.openxmlformats.org/officeDocument/2006/relationships/chart" Target="charts/chart5.xml"/><Relationship Id="rId33" Type="http://schemas.openxmlformats.org/officeDocument/2006/relationships/chart" Target="charts/chart12.xm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6.emf"/><Relationship Id="rId29"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chart" Target="charts/chart11.xml"/><Relationship Id="rId37" Type="http://schemas.openxmlformats.org/officeDocument/2006/relationships/chart" Target="charts/chart1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8.emf"/><Relationship Id="rId36" Type="http://schemas.openxmlformats.org/officeDocument/2006/relationships/chart" Target="charts/chart15.xml"/><Relationship Id="rId10" Type="http://schemas.openxmlformats.org/officeDocument/2006/relationships/footer" Target="footer2.xml"/><Relationship Id="rId19" Type="http://schemas.openxmlformats.org/officeDocument/2006/relationships/chart" Target="charts/chart2.xml"/><Relationship Id="rId31"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chart" Target="charts/chart4.xml"/><Relationship Id="rId27" Type="http://schemas.openxmlformats.org/officeDocument/2006/relationships/chart" Target="charts/chart7.xml"/><Relationship Id="rId30" Type="http://schemas.openxmlformats.org/officeDocument/2006/relationships/chart" Target="charts/chart9.xml"/><Relationship Id="rId35" Type="http://schemas.openxmlformats.org/officeDocument/2006/relationships/chart" Target="charts/chart14.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Heat_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howmuch\limbo\SCE\DBP%202014\Report\Ex%20post%20LI%20figures.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howmuch\limbo\SCE\DBP%202014\Report\Ex%20ante%20LI%20figure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howmuch\limbo\SCE\DBP%202014\Report\Ex%20ante%20LI%20figures.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Book5"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howmuch\limbo\SCE\DBP%202014\Models\PGE\Summary%20dgh.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howmuch\limbo\SCE\DBP%202014\Models\SCE\Summary%20dgh.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howmuch\limbo\SCE\DBP%202014\Models\PGE\Actual%20vs%20Predicted_18specs%20to%20date%20dgh.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howmuch\limbo\SCE\DBP%202014\Models\SCE\Actual%20vs%20Predicted_18specs%20to%20dat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howmuch\limbo\SCE\DBP%202014\Report\Ex%20post%20LI%20figur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howmuch\limbo\SCE\DBP%202014\Report\Ex%20post%20LI%20figur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howmuch\limbo\SCE\DBP%202014\Report\Ex%20post%20LI%20figure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9"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howmuch\limbo\SCE\DBP%202014\Report\Ex%20ante%20LI%20figur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howmuch\limbo\SCE\DBP%202014\Report\Ex%20ante%20LI%20figure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howmuch\limbo\SCE\DBP%202014\Report\Ex%20ante%20LI%20figure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howmuch\limbo\SCE\DBP%202014\Report\Ex%20ante%20LI%20figur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3"/>
          <c:tx>
            <c:strRef>
              <c:f>Data!$U$2</c:f>
              <c:strCache>
                <c:ptCount val="1"/>
                <c:pt idx="0">
                  <c:v>Event Hours</c:v>
                </c:pt>
              </c:strCache>
            </c:strRef>
          </c:tx>
          <c:spPr>
            <a:solidFill>
              <a:schemeClr val="accent1">
                <a:lumMod val="20000"/>
                <a:lumOff val="80000"/>
              </a:schemeClr>
            </a:solidFill>
            <a:ln>
              <a:noFill/>
            </a:ln>
            <a:effectLst/>
          </c:spPr>
          <c:val>
            <c:numRef>
              <c:f>Data!$U$3:$U$26</c:f>
              <c:numCache>
                <c:formatCode>General</c:formatCode>
                <c:ptCount val="24"/>
                <c:pt idx="12" formatCode="0.0">
                  <c:v>800</c:v>
                </c:pt>
                <c:pt idx="13" formatCode="0.0">
                  <c:v>800</c:v>
                </c:pt>
                <c:pt idx="14" formatCode="0.0">
                  <c:v>800</c:v>
                </c:pt>
                <c:pt idx="15" formatCode="0.0">
                  <c:v>800</c:v>
                </c:pt>
                <c:pt idx="16" formatCode="0.0">
                  <c:v>800</c:v>
                </c:pt>
                <c:pt idx="17" formatCode="0.0">
                  <c:v>800</c:v>
                </c:pt>
                <c:pt idx="18" formatCode="0.0">
                  <c:v>800</c:v>
                </c:pt>
                <c:pt idx="19" formatCode="0.0">
                  <c:v>800</c:v>
                </c:pt>
              </c:numCache>
            </c:numRef>
          </c:val>
        </c:ser>
        <c:dLbls>
          <c:showLegendKey val="0"/>
          <c:showVal val="0"/>
          <c:showCatName val="0"/>
          <c:showSerName val="0"/>
          <c:showPercent val="0"/>
          <c:showBubbleSize val="0"/>
        </c:dLbls>
        <c:axId val="254412408"/>
        <c:axId val="254413192"/>
      </c:areaChart>
      <c:lineChart>
        <c:grouping val="standard"/>
        <c:varyColors val="0"/>
        <c:ser>
          <c:idx val="0"/>
          <c:order val="0"/>
          <c:tx>
            <c:strRef>
              <c:f>Data!$R$2</c:f>
              <c:strCache>
                <c:ptCount val="1"/>
                <c:pt idx="0">
                  <c:v>Reference</c:v>
                </c:pt>
              </c:strCache>
            </c:strRef>
          </c:tx>
          <c:spPr>
            <a:ln w="34925" cap="rnd">
              <a:solidFill>
                <a:schemeClr val="accent1"/>
              </a:solidFill>
              <a:round/>
            </a:ln>
            <a:effectLst/>
          </c:spPr>
          <c:marker>
            <c:symbol val="none"/>
          </c:marker>
          <c:val>
            <c:numRef>
              <c:f>Data!$R$3:$R$26</c:f>
              <c:numCache>
                <c:formatCode>0</c:formatCode>
                <c:ptCount val="24"/>
                <c:pt idx="0">
                  <c:v>541.43889999999999</c:v>
                </c:pt>
                <c:pt idx="1">
                  <c:v>534.80160000000001</c:v>
                </c:pt>
                <c:pt idx="2">
                  <c:v>529.47739999999999</c:v>
                </c:pt>
                <c:pt idx="3">
                  <c:v>530.03740000000005</c:v>
                </c:pt>
                <c:pt idx="4">
                  <c:v>539.1816</c:v>
                </c:pt>
                <c:pt idx="5">
                  <c:v>560.36030000000005</c:v>
                </c:pt>
                <c:pt idx="6">
                  <c:v>591.55960000000005</c:v>
                </c:pt>
                <c:pt idx="7">
                  <c:v>612.27660000000003</c:v>
                </c:pt>
                <c:pt idx="8">
                  <c:v>631.46929999999998</c:v>
                </c:pt>
                <c:pt idx="9">
                  <c:v>650.15409999999997</c:v>
                </c:pt>
                <c:pt idx="10">
                  <c:v>659.71979999999996</c:v>
                </c:pt>
                <c:pt idx="11">
                  <c:v>669.33929999999998</c:v>
                </c:pt>
                <c:pt idx="12">
                  <c:v>667.44820000000004</c:v>
                </c:pt>
                <c:pt idx="13">
                  <c:v>673.30679999999995</c:v>
                </c:pt>
                <c:pt idx="14">
                  <c:v>672.29420000000005</c:v>
                </c:pt>
                <c:pt idx="15">
                  <c:v>659.495</c:v>
                </c:pt>
                <c:pt idx="16">
                  <c:v>651.34749999999997</c:v>
                </c:pt>
                <c:pt idx="17">
                  <c:v>637.31259999999997</c:v>
                </c:pt>
                <c:pt idx="18">
                  <c:v>625.51099999999997</c:v>
                </c:pt>
                <c:pt idx="19">
                  <c:v>617.30489999999998</c:v>
                </c:pt>
                <c:pt idx="20">
                  <c:v>611.93470000000002</c:v>
                </c:pt>
                <c:pt idx="21">
                  <c:v>603.05489999999998</c:v>
                </c:pt>
                <c:pt idx="22">
                  <c:v>589.40890000000002</c:v>
                </c:pt>
                <c:pt idx="23">
                  <c:v>575.39509999999996</c:v>
                </c:pt>
              </c:numCache>
            </c:numRef>
          </c:val>
          <c:smooth val="0"/>
        </c:ser>
        <c:ser>
          <c:idx val="1"/>
          <c:order val="1"/>
          <c:tx>
            <c:strRef>
              <c:f>Data!$S$2</c:f>
              <c:strCache>
                <c:ptCount val="1"/>
                <c:pt idx="0">
                  <c:v>Observed</c:v>
                </c:pt>
              </c:strCache>
            </c:strRef>
          </c:tx>
          <c:spPr>
            <a:ln w="38100" cap="rnd">
              <a:solidFill>
                <a:schemeClr val="accent2"/>
              </a:solidFill>
              <a:prstDash val="dash"/>
              <a:round/>
            </a:ln>
            <a:effectLst/>
          </c:spPr>
          <c:marker>
            <c:symbol val="none"/>
          </c:marker>
          <c:val>
            <c:numRef>
              <c:f>Data!$S$3:$S$26</c:f>
              <c:numCache>
                <c:formatCode>0</c:formatCode>
                <c:ptCount val="24"/>
                <c:pt idx="0">
                  <c:v>540.15042700000004</c:v>
                </c:pt>
                <c:pt idx="1">
                  <c:v>534.95419660000005</c:v>
                </c:pt>
                <c:pt idx="2">
                  <c:v>529.7329277</c:v>
                </c:pt>
                <c:pt idx="3">
                  <c:v>530.20864700000004</c:v>
                </c:pt>
                <c:pt idx="4">
                  <c:v>540.34210199999995</c:v>
                </c:pt>
                <c:pt idx="5">
                  <c:v>561.80377200000009</c:v>
                </c:pt>
                <c:pt idx="6">
                  <c:v>592.5317543000001</c:v>
                </c:pt>
                <c:pt idx="7">
                  <c:v>612.36612930000001</c:v>
                </c:pt>
                <c:pt idx="8">
                  <c:v>628.96998099999996</c:v>
                </c:pt>
                <c:pt idx="9">
                  <c:v>647.22102799999993</c:v>
                </c:pt>
                <c:pt idx="10">
                  <c:v>656.02284599999996</c:v>
                </c:pt>
                <c:pt idx="11">
                  <c:v>660.00222899999994</c:v>
                </c:pt>
                <c:pt idx="12">
                  <c:v>639.38415000000009</c:v>
                </c:pt>
                <c:pt idx="13">
                  <c:v>644.89305999999999</c:v>
                </c:pt>
                <c:pt idx="14">
                  <c:v>646.17869000000007</c:v>
                </c:pt>
                <c:pt idx="15">
                  <c:v>633.22191999999995</c:v>
                </c:pt>
                <c:pt idx="16">
                  <c:v>625.35095999999999</c:v>
                </c:pt>
                <c:pt idx="17">
                  <c:v>613.16967</c:v>
                </c:pt>
                <c:pt idx="18">
                  <c:v>603.99243999999999</c:v>
                </c:pt>
                <c:pt idx="19">
                  <c:v>597.58105999999998</c:v>
                </c:pt>
                <c:pt idx="20">
                  <c:v>600.03156000000001</c:v>
                </c:pt>
                <c:pt idx="21">
                  <c:v>596.55718000000002</c:v>
                </c:pt>
                <c:pt idx="22">
                  <c:v>584.21630000000005</c:v>
                </c:pt>
                <c:pt idx="23">
                  <c:v>569.85357599999998</c:v>
                </c:pt>
              </c:numCache>
            </c:numRef>
          </c:val>
          <c:smooth val="0"/>
        </c:ser>
        <c:dLbls>
          <c:showLegendKey val="0"/>
          <c:showVal val="0"/>
          <c:showCatName val="0"/>
          <c:showSerName val="0"/>
          <c:showPercent val="0"/>
          <c:showBubbleSize val="0"/>
        </c:dLbls>
        <c:marker val="1"/>
        <c:smooth val="0"/>
        <c:axId val="254412408"/>
        <c:axId val="254413192"/>
      </c:lineChart>
      <c:lineChart>
        <c:grouping val="standard"/>
        <c:varyColors val="0"/>
        <c:ser>
          <c:idx val="2"/>
          <c:order val="2"/>
          <c:tx>
            <c:strRef>
              <c:f>Data!$T$2</c:f>
              <c:strCache>
                <c:ptCount val="1"/>
                <c:pt idx="0">
                  <c:v>Load Impact</c:v>
                </c:pt>
              </c:strCache>
            </c:strRef>
          </c:tx>
          <c:spPr>
            <a:ln w="31750" cap="rnd">
              <a:solidFill>
                <a:srgbClr val="92D050"/>
              </a:solidFill>
              <a:round/>
            </a:ln>
            <a:effectLst/>
          </c:spPr>
          <c:marker>
            <c:symbol val="diamond"/>
            <c:size val="6"/>
            <c:spPr>
              <a:solidFill>
                <a:srgbClr val="92D050"/>
              </a:solidFill>
              <a:ln w="12700">
                <a:solidFill>
                  <a:srgbClr val="92D050"/>
                </a:solidFill>
              </a:ln>
              <a:effectLst/>
            </c:spPr>
          </c:marker>
          <c:val>
            <c:numRef>
              <c:f>Data!$T$3:$T$26</c:f>
              <c:numCache>
                <c:formatCode>0</c:formatCode>
                <c:ptCount val="24"/>
                <c:pt idx="0">
                  <c:v>1.288473</c:v>
                </c:pt>
                <c:pt idx="1">
                  <c:v>-0.1525966</c:v>
                </c:pt>
                <c:pt idx="2">
                  <c:v>-0.25552770000000002</c:v>
                </c:pt>
                <c:pt idx="3">
                  <c:v>-0.17124700000000001</c:v>
                </c:pt>
                <c:pt idx="4">
                  <c:v>-1.1605019999999999</c:v>
                </c:pt>
                <c:pt idx="5">
                  <c:v>-1.4434720000000001</c:v>
                </c:pt>
                <c:pt idx="6">
                  <c:v>-0.97215430000000003</c:v>
                </c:pt>
                <c:pt idx="7">
                  <c:v>-8.9529300000000006E-2</c:v>
                </c:pt>
                <c:pt idx="8">
                  <c:v>2.4993189999999998</c:v>
                </c:pt>
                <c:pt idx="9">
                  <c:v>2.9330720000000001</c:v>
                </c:pt>
                <c:pt idx="10">
                  <c:v>3.6969539999999999</c:v>
                </c:pt>
                <c:pt idx="11">
                  <c:v>9.3370709999999999</c:v>
                </c:pt>
                <c:pt idx="12">
                  <c:v>28.064050000000002</c:v>
                </c:pt>
                <c:pt idx="13">
                  <c:v>28.413740000000001</c:v>
                </c:pt>
                <c:pt idx="14">
                  <c:v>26.11551</c:v>
                </c:pt>
                <c:pt idx="15">
                  <c:v>26.27308</c:v>
                </c:pt>
                <c:pt idx="16">
                  <c:v>25.99654</c:v>
                </c:pt>
                <c:pt idx="17">
                  <c:v>24.14293</c:v>
                </c:pt>
                <c:pt idx="18">
                  <c:v>21.518560000000001</c:v>
                </c:pt>
                <c:pt idx="19">
                  <c:v>19.723839999999999</c:v>
                </c:pt>
                <c:pt idx="20">
                  <c:v>11.90314</c:v>
                </c:pt>
                <c:pt idx="21">
                  <c:v>6.4977200000000002</c:v>
                </c:pt>
                <c:pt idx="22">
                  <c:v>5.1925999999999997</c:v>
                </c:pt>
                <c:pt idx="23">
                  <c:v>5.5415239999999999</c:v>
                </c:pt>
              </c:numCache>
            </c:numRef>
          </c:val>
          <c:smooth val="0"/>
        </c:ser>
        <c:dLbls>
          <c:showLegendKey val="0"/>
          <c:showVal val="0"/>
          <c:showCatName val="0"/>
          <c:showSerName val="0"/>
          <c:showPercent val="0"/>
          <c:showBubbleSize val="0"/>
        </c:dLbls>
        <c:marker val="1"/>
        <c:smooth val="0"/>
        <c:axId val="306394880"/>
        <c:axId val="306407816"/>
      </c:lineChart>
      <c:catAx>
        <c:axId val="25441240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254413192"/>
        <c:crosses val="autoZero"/>
        <c:auto val="1"/>
        <c:lblAlgn val="ctr"/>
        <c:lblOffset val="100"/>
        <c:noMultiLvlLbl val="0"/>
      </c:catAx>
      <c:valAx>
        <c:axId val="254413192"/>
        <c:scaling>
          <c:orientation val="minMax"/>
          <c:max val="8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254412408"/>
        <c:crosses val="autoZero"/>
        <c:crossBetween val="between"/>
      </c:valAx>
      <c:valAx>
        <c:axId val="306407816"/>
        <c:scaling>
          <c:orientation val="minMax"/>
          <c:max val="70"/>
          <c:min val="-1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6394880"/>
        <c:crosses val="max"/>
        <c:crossBetween val="between"/>
      </c:valAx>
      <c:catAx>
        <c:axId val="306394880"/>
        <c:scaling>
          <c:orientation val="minMax"/>
        </c:scaling>
        <c:delete val="1"/>
        <c:axPos val="b"/>
        <c:majorTickMark val="out"/>
        <c:minorTickMark val="none"/>
        <c:tickLblPos val="nextTo"/>
        <c:crossAx val="30640781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3"/>
          <c:tx>
            <c:strRef>
              <c:f>Sheet1!$AF$2</c:f>
              <c:strCache>
                <c:ptCount val="1"/>
                <c:pt idx="0">
                  <c:v>Event Hours</c:v>
                </c:pt>
              </c:strCache>
            </c:strRef>
          </c:tx>
          <c:spPr>
            <a:solidFill>
              <a:schemeClr val="accent1">
                <a:lumMod val="20000"/>
                <a:lumOff val="80000"/>
              </a:schemeClr>
            </a:solidFill>
            <a:ln>
              <a:noFill/>
            </a:ln>
            <a:effectLst/>
          </c:spPr>
          <c:val>
            <c:numRef>
              <c:f>Sheet1!$AF$3:$AF$26</c:f>
              <c:numCache>
                <c:formatCode>General</c:formatCode>
                <c:ptCount val="24"/>
                <c:pt idx="13" formatCode="#,##0">
                  <c:v>800</c:v>
                </c:pt>
                <c:pt idx="14" formatCode="#,##0">
                  <c:v>800</c:v>
                </c:pt>
                <c:pt idx="15" formatCode="#,##0">
                  <c:v>800</c:v>
                </c:pt>
                <c:pt idx="16" formatCode="#,##0">
                  <c:v>800</c:v>
                </c:pt>
                <c:pt idx="17" formatCode="#,##0">
                  <c:v>800</c:v>
                </c:pt>
              </c:numCache>
            </c:numRef>
          </c:val>
        </c:ser>
        <c:dLbls>
          <c:showLegendKey val="0"/>
          <c:showVal val="0"/>
          <c:showCatName val="0"/>
          <c:showSerName val="0"/>
          <c:showPercent val="0"/>
          <c:showBubbleSize val="0"/>
        </c:dLbls>
        <c:axId val="434621152"/>
        <c:axId val="434623504"/>
      </c:areaChart>
      <c:lineChart>
        <c:grouping val="standard"/>
        <c:varyColors val="0"/>
        <c:ser>
          <c:idx val="0"/>
          <c:order val="0"/>
          <c:tx>
            <c:strRef>
              <c:f>Sheet1!$AC$2</c:f>
              <c:strCache>
                <c:ptCount val="1"/>
                <c:pt idx="0">
                  <c:v>Reference</c:v>
                </c:pt>
              </c:strCache>
            </c:strRef>
          </c:tx>
          <c:spPr>
            <a:ln w="38100" cap="rnd">
              <a:solidFill>
                <a:schemeClr val="accent1"/>
              </a:solidFill>
              <a:round/>
            </a:ln>
            <a:effectLst/>
          </c:spPr>
          <c:marker>
            <c:symbol val="none"/>
          </c:marker>
          <c:val>
            <c:numRef>
              <c:f>Sheet1!$AC$3:$AC$26</c:f>
              <c:numCache>
                <c:formatCode>#,##0</c:formatCode>
                <c:ptCount val="24"/>
                <c:pt idx="0">
                  <c:v>198.11461366456496</c:v>
                </c:pt>
                <c:pt idx="1">
                  <c:v>192.96149509059393</c:v>
                </c:pt>
                <c:pt idx="2">
                  <c:v>189.29561460052003</c:v>
                </c:pt>
                <c:pt idx="3">
                  <c:v>189.29746521027795</c:v>
                </c:pt>
                <c:pt idx="4">
                  <c:v>196.72807946776115</c:v>
                </c:pt>
                <c:pt idx="5">
                  <c:v>214.44006787476457</c:v>
                </c:pt>
                <c:pt idx="6">
                  <c:v>235.18044202635454</c:v>
                </c:pt>
                <c:pt idx="7">
                  <c:v>248.07120961314476</c:v>
                </c:pt>
                <c:pt idx="8">
                  <c:v>259.4112721532544</c:v>
                </c:pt>
                <c:pt idx="9">
                  <c:v>274.20329205245793</c:v>
                </c:pt>
                <c:pt idx="10">
                  <c:v>288.12797145075456</c:v>
                </c:pt>
                <c:pt idx="11">
                  <c:v>296.66967898635573</c:v>
                </c:pt>
                <c:pt idx="12">
                  <c:v>300.36635083357874</c:v>
                </c:pt>
                <c:pt idx="13">
                  <c:v>305.29466448545224</c:v>
                </c:pt>
                <c:pt idx="14">
                  <c:v>306.32542513685371</c:v>
                </c:pt>
                <c:pt idx="15">
                  <c:v>299.74570130209389</c:v>
                </c:pt>
                <c:pt idx="16">
                  <c:v>293.73982760104911</c:v>
                </c:pt>
                <c:pt idx="17">
                  <c:v>283.82920795386156</c:v>
                </c:pt>
                <c:pt idx="18">
                  <c:v>260.00645498379299</c:v>
                </c:pt>
                <c:pt idx="19">
                  <c:v>251.78664682436826</c:v>
                </c:pt>
                <c:pt idx="20">
                  <c:v>241.9556137691952</c:v>
                </c:pt>
                <c:pt idx="21">
                  <c:v>230.05754027195113</c:v>
                </c:pt>
                <c:pt idx="22">
                  <c:v>214.29501383143526</c:v>
                </c:pt>
                <c:pt idx="23">
                  <c:v>207.48444756544728</c:v>
                </c:pt>
              </c:numCache>
            </c:numRef>
          </c:val>
          <c:smooth val="0"/>
        </c:ser>
        <c:ser>
          <c:idx val="1"/>
          <c:order val="1"/>
          <c:tx>
            <c:strRef>
              <c:f>Sheet1!$AD$2</c:f>
              <c:strCache>
                <c:ptCount val="1"/>
                <c:pt idx="0">
                  <c:v>Observed</c:v>
                </c:pt>
              </c:strCache>
            </c:strRef>
          </c:tx>
          <c:spPr>
            <a:ln w="38100" cap="rnd">
              <a:solidFill>
                <a:schemeClr val="accent2"/>
              </a:solidFill>
              <a:prstDash val="sysDash"/>
              <a:round/>
            </a:ln>
            <a:effectLst/>
          </c:spPr>
          <c:marker>
            <c:symbol val="none"/>
          </c:marker>
          <c:val>
            <c:numRef>
              <c:f>Sheet1!$AD$3:$AD$26</c:f>
              <c:numCache>
                <c:formatCode>#,##0</c:formatCode>
                <c:ptCount val="24"/>
                <c:pt idx="0">
                  <c:v>198.04347599786269</c:v>
                </c:pt>
                <c:pt idx="1">
                  <c:v>192.86418481575453</c:v>
                </c:pt>
                <c:pt idx="2">
                  <c:v>189.3783956769513</c:v>
                </c:pt>
                <c:pt idx="3">
                  <c:v>189.43091883273831</c:v>
                </c:pt>
                <c:pt idx="4">
                  <c:v>196.89619253550731</c:v>
                </c:pt>
                <c:pt idx="5">
                  <c:v>214.66630532083428</c:v>
                </c:pt>
                <c:pt idx="6">
                  <c:v>235.5970385284202</c:v>
                </c:pt>
                <c:pt idx="7">
                  <c:v>248.21075086659229</c:v>
                </c:pt>
                <c:pt idx="8">
                  <c:v>259.47872997074927</c:v>
                </c:pt>
                <c:pt idx="9">
                  <c:v>274.15070700571954</c:v>
                </c:pt>
                <c:pt idx="10">
                  <c:v>287.43500171131745</c:v>
                </c:pt>
                <c:pt idx="11">
                  <c:v>295.84575188188262</c:v>
                </c:pt>
                <c:pt idx="12">
                  <c:v>299.08372074763361</c:v>
                </c:pt>
                <c:pt idx="13">
                  <c:v>300.29112826108701</c:v>
                </c:pt>
                <c:pt idx="14">
                  <c:v>300.71683644132759</c:v>
                </c:pt>
                <c:pt idx="15">
                  <c:v>293.29647587637368</c:v>
                </c:pt>
                <c:pt idx="16">
                  <c:v>288.01038738879936</c:v>
                </c:pt>
                <c:pt idx="17">
                  <c:v>283.51962038581689</c:v>
                </c:pt>
                <c:pt idx="18">
                  <c:v>259.88309667452404</c:v>
                </c:pt>
                <c:pt idx="19">
                  <c:v>251.96045912433507</c:v>
                </c:pt>
                <c:pt idx="20">
                  <c:v>242.55362281908762</c:v>
                </c:pt>
                <c:pt idx="21">
                  <c:v>230.5527008218302</c:v>
                </c:pt>
                <c:pt idx="22">
                  <c:v>214.27382346193355</c:v>
                </c:pt>
                <c:pt idx="23">
                  <c:v>207.47624618239303</c:v>
                </c:pt>
              </c:numCache>
            </c:numRef>
          </c:val>
          <c:smooth val="0"/>
        </c:ser>
        <c:dLbls>
          <c:showLegendKey val="0"/>
          <c:showVal val="0"/>
          <c:showCatName val="0"/>
          <c:showSerName val="0"/>
          <c:showPercent val="0"/>
          <c:showBubbleSize val="0"/>
        </c:dLbls>
        <c:marker val="1"/>
        <c:smooth val="0"/>
        <c:axId val="434621152"/>
        <c:axId val="434623504"/>
      </c:lineChart>
      <c:lineChart>
        <c:grouping val="standard"/>
        <c:varyColors val="0"/>
        <c:ser>
          <c:idx val="2"/>
          <c:order val="2"/>
          <c:tx>
            <c:strRef>
              <c:f>Sheet1!$AE$2</c:f>
              <c:strCache>
                <c:ptCount val="1"/>
                <c:pt idx="0">
                  <c:v>Load Impact</c:v>
                </c:pt>
              </c:strCache>
            </c:strRef>
          </c:tx>
          <c:spPr>
            <a:ln w="38100" cap="rnd">
              <a:solidFill>
                <a:srgbClr val="92D050"/>
              </a:solidFill>
              <a:round/>
            </a:ln>
            <a:effectLst/>
          </c:spPr>
          <c:marker>
            <c:symbol val="diamond"/>
            <c:size val="8"/>
            <c:spPr>
              <a:solidFill>
                <a:srgbClr val="92D050"/>
              </a:solidFill>
              <a:ln w="9525">
                <a:solidFill>
                  <a:srgbClr val="92D050"/>
                </a:solidFill>
              </a:ln>
              <a:effectLst/>
            </c:spPr>
          </c:marker>
          <c:val>
            <c:numRef>
              <c:f>Sheet1!$AE$3:$AE$26</c:f>
              <c:numCache>
                <c:formatCode>#,##0</c:formatCode>
                <c:ptCount val="24"/>
                <c:pt idx="0">
                  <c:v>7.1137666702270508E-2</c:v>
                </c:pt>
                <c:pt idx="1">
                  <c:v>9.7310274839401245E-2</c:v>
                </c:pt>
                <c:pt idx="2">
                  <c:v>-8.2781076431274414E-2</c:v>
                </c:pt>
                <c:pt idx="3">
                  <c:v>-0.1334536224603653</c:v>
                </c:pt>
                <c:pt idx="4">
                  <c:v>-0.16811306774616241</c:v>
                </c:pt>
                <c:pt idx="5">
                  <c:v>-0.22623744606971741</c:v>
                </c:pt>
                <c:pt idx="6">
                  <c:v>-0.41659650206565857</c:v>
                </c:pt>
                <c:pt idx="7">
                  <c:v>-0.13954125344753265</c:v>
                </c:pt>
                <c:pt idx="8">
                  <c:v>-6.7457817494869232E-2</c:v>
                </c:pt>
                <c:pt idx="9">
                  <c:v>5.2585046738386154E-2</c:v>
                </c:pt>
                <c:pt idx="10">
                  <c:v>0.69296973943710327</c:v>
                </c:pt>
                <c:pt idx="11">
                  <c:v>0.82392710447311401</c:v>
                </c:pt>
                <c:pt idx="12">
                  <c:v>1.2826300859451294</c:v>
                </c:pt>
                <c:pt idx="13">
                  <c:v>5.0035362243652344</c:v>
                </c:pt>
                <c:pt idx="14">
                  <c:v>5.608588695526123</c:v>
                </c:pt>
                <c:pt idx="15">
                  <c:v>6.4492254257202148</c:v>
                </c:pt>
                <c:pt idx="16">
                  <c:v>5.7294402122497559</c:v>
                </c:pt>
                <c:pt idx="17">
                  <c:v>0.30958756804466248</c:v>
                </c:pt>
                <c:pt idx="18">
                  <c:v>0.12335830926895142</c:v>
                </c:pt>
                <c:pt idx="19">
                  <c:v>-0.17381229996681213</c:v>
                </c:pt>
                <c:pt idx="20">
                  <c:v>-0.59800904989242554</c:v>
                </c:pt>
                <c:pt idx="21">
                  <c:v>-0.4951605498790741</c:v>
                </c:pt>
                <c:pt idx="22">
                  <c:v>2.1190369501709938E-2</c:v>
                </c:pt>
                <c:pt idx="23">
                  <c:v>8.2013830542564392E-3</c:v>
                </c:pt>
              </c:numCache>
            </c:numRef>
          </c:val>
          <c:smooth val="0"/>
        </c:ser>
        <c:dLbls>
          <c:showLegendKey val="0"/>
          <c:showVal val="0"/>
          <c:showCatName val="0"/>
          <c:showSerName val="0"/>
          <c:showPercent val="0"/>
          <c:showBubbleSize val="0"/>
        </c:dLbls>
        <c:marker val="1"/>
        <c:smooth val="0"/>
        <c:axId val="434628600"/>
        <c:axId val="434627032"/>
      </c:lineChart>
      <c:catAx>
        <c:axId val="43462115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3504"/>
        <c:crosses val="autoZero"/>
        <c:auto val="1"/>
        <c:lblAlgn val="ctr"/>
        <c:lblOffset val="100"/>
        <c:noMultiLvlLbl val="0"/>
      </c:catAx>
      <c:valAx>
        <c:axId val="434623504"/>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1152"/>
        <c:crosses val="autoZero"/>
        <c:crossBetween val="between"/>
      </c:valAx>
      <c:valAx>
        <c:axId val="434627032"/>
        <c:scaling>
          <c:orientation val="minMax"/>
          <c:max val="150"/>
          <c:min val="-1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8600"/>
        <c:crosses val="max"/>
        <c:crossBetween val="between"/>
      </c:valAx>
      <c:catAx>
        <c:axId val="434628600"/>
        <c:scaling>
          <c:orientation val="minMax"/>
        </c:scaling>
        <c:delete val="1"/>
        <c:axPos val="b"/>
        <c:majorTickMark val="out"/>
        <c:minorTickMark val="none"/>
        <c:tickLblPos val="nextTo"/>
        <c:crossAx val="43462703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Sheet1!$Z$32:$Z$34</c:f>
              <c:strCache>
                <c:ptCount val="3"/>
                <c:pt idx="0">
                  <c:v>LA Basin</c:v>
                </c:pt>
                <c:pt idx="1">
                  <c:v>Outside Basin</c:v>
                </c:pt>
                <c:pt idx="2">
                  <c:v>Ventura</c:v>
                </c:pt>
              </c:strCache>
            </c:strRef>
          </c:cat>
          <c:val>
            <c:numRef>
              <c:f>Sheet1!$AA$32:$AA$34</c:f>
              <c:numCache>
                <c:formatCode>0.0</c:formatCode>
                <c:ptCount val="3"/>
                <c:pt idx="0">
                  <c:v>76.023699951171878</c:v>
                </c:pt>
                <c:pt idx="1">
                  <c:v>20.954048156738281</c:v>
                </c:pt>
                <c:pt idx="2">
                  <c:v>13.454643630981446</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[SCE DBP LI by year and scenario figure.xlsx]Sheet4!PivotTable50</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s>
    <c:plotArea>
      <c:layout/>
      <c:barChart>
        <c:barDir val="bar"/>
        <c:grouping val="clustered"/>
        <c:varyColors val="0"/>
        <c:ser>
          <c:idx val="0"/>
          <c:order val="0"/>
          <c:tx>
            <c:strRef>
              <c:f>Sheet4!$B$3:$B$4</c:f>
              <c:strCache>
                <c:ptCount val="1"/>
                <c:pt idx="0">
                  <c:v>PY2017</c:v>
                </c:pt>
              </c:strCache>
            </c:strRef>
          </c:tx>
          <c:spPr>
            <a:solidFill>
              <a:schemeClr val="accent1"/>
            </a:solidFill>
            <a:ln>
              <a:noFill/>
            </a:ln>
            <a:effectLst/>
          </c:spPr>
          <c:invertIfNegative val="0"/>
          <c:cat>
            <c:strRef>
              <c:f>Sheet4!$A$5:$A$12</c:f>
              <c:strCache>
                <c:ptCount val="8"/>
                <c:pt idx="0">
                  <c:v>CAISO 1-in-10, Portfolio</c:v>
                </c:pt>
                <c:pt idx="1">
                  <c:v>CAISO 1-in-10, Program</c:v>
                </c:pt>
                <c:pt idx="2">
                  <c:v>CAISO 1-in-2, Portfolio</c:v>
                </c:pt>
                <c:pt idx="3">
                  <c:v>CAISO 1-in-2, Program</c:v>
                </c:pt>
                <c:pt idx="4">
                  <c:v>Utility 1-in-10, Portfolio</c:v>
                </c:pt>
                <c:pt idx="5">
                  <c:v>Utility 1-in-10, Program</c:v>
                </c:pt>
                <c:pt idx="6">
                  <c:v>Utility 1-in-2, Portfolio</c:v>
                </c:pt>
                <c:pt idx="7">
                  <c:v>Utility 1-in-2, Program</c:v>
                </c:pt>
              </c:strCache>
            </c:strRef>
          </c:cat>
          <c:val>
            <c:numRef>
              <c:f>Sheet4!$B$5:$B$12</c:f>
              <c:numCache>
                <c:formatCode>General</c:formatCode>
                <c:ptCount val="8"/>
                <c:pt idx="0">
                  <c:v>4.0717040000000004</c:v>
                </c:pt>
                <c:pt idx="1">
                  <c:v>101.9881</c:v>
                </c:pt>
                <c:pt idx="2">
                  <c:v>4.020829</c:v>
                </c:pt>
                <c:pt idx="3">
                  <c:v>102.0185</c:v>
                </c:pt>
                <c:pt idx="4">
                  <c:v>4.0591030000000003</c:v>
                </c:pt>
                <c:pt idx="5">
                  <c:v>101.73869999999999</c:v>
                </c:pt>
                <c:pt idx="6">
                  <c:v>4.0276769999999997</c:v>
                </c:pt>
                <c:pt idx="7">
                  <c:v>101.70650000000001</c:v>
                </c:pt>
              </c:numCache>
            </c:numRef>
          </c:val>
        </c:ser>
        <c:ser>
          <c:idx val="1"/>
          <c:order val="1"/>
          <c:tx>
            <c:strRef>
              <c:f>Sheet4!$C$3:$C$4</c:f>
              <c:strCache>
                <c:ptCount val="1"/>
                <c:pt idx="0">
                  <c:v>PY2016</c:v>
                </c:pt>
              </c:strCache>
            </c:strRef>
          </c:tx>
          <c:spPr>
            <a:solidFill>
              <a:schemeClr val="accent2"/>
            </a:solidFill>
            <a:ln>
              <a:noFill/>
            </a:ln>
            <a:effectLst/>
          </c:spPr>
          <c:invertIfNegative val="0"/>
          <c:cat>
            <c:strRef>
              <c:f>Sheet4!$A$5:$A$12</c:f>
              <c:strCache>
                <c:ptCount val="8"/>
                <c:pt idx="0">
                  <c:v>CAISO 1-in-10, Portfolio</c:v>
                </c:pt>
                <c:pt idx="1">
                  <c:v>CAISO 1-in-10, Program</c:v>
                </c:pt>
                <c:pt idx="2">
                  <c:v>CAISO 1-in-2, Portfolio</c:v>
                </c:pt>
                <c:pt idx="3">
                  <c:v>CAISO 1-in-2, Program</c:v>
                </c:pt>
                <c:pt idx="4">
                  <c:v>Utility 1-in-10, Portfolio</c:v>
                </c:pt>
                <c:pt idx="5">
                  <c:v>Utility 1-in-10, Program</c:v>
                </c:pt>
                <c:pt idx="6">
                  <c:v>Utility 1-in-2, Portfolio</c:v>
                </c:pt>
                <c:pt idx="7">
                  <c:v>Utility 1-in-2, Program</c:v>
                </c:pt>
              </c:strCache>
            </c:strRef>
          </c:cat>
          <c:val>
            <c:numRef>
              <c:f>Sheet4!$C$5:$C$12</c:f>
              <c:numCache>
                <c:formatCode>General</c:formatCode>
                <c:ptCount val="8"/>
                <c:pt idx="0">
                  <c:v>4.2092729999999996</c:v>
                </c:pt>
                <c:pt idx="1">
                  <c:v>103.99639999999999</c:v>
                </c:pt>
                <c:pt idx="2">
                  <c:v>4.1566799999999997</c:v>
                </c:pt>
                <c:pt idx="3">
                  <c:v>104.0273</c:v>
                </c:pt>
                <c:pt idx="4">
                  <c:v>4.1961269999999997</c:v>
                </c:pt>
                <c:pt idx="5">
                  <c:v>103.742</c:v>
                </c:pt>
                <c:pt idx="6">
                  <c:v>4.1636369999999996</c:v>
                </c:pt>
                <c:pt idx="7">
                  <c:v>103.7092</c:v>
                </c:pt>
              </c:numCache>
            </c:numRef>
          </c:val>
        </c:ser>
        <c:ser>
          <c:idx val="2"/>
          <c:order val="2"/>
          <c:tx>
            <c:strRef>
              <c:f>Sheet4!$D$3:$D$4</c:f>
              <c:strCache>
                <c:ptCount val="1"/>
                <c:pt idx="0">
                  <c:v>PY2015</c:v>
                </c:pt>
              </c:strCache>
            </c:strRef>
          </c:tx>
          <c:spPr>
            <a:solidFill>
              <a:schemeClr val="accent3"/>
            </a:solidFill>
            <a:ln>
              <a:noFill/>
            </a:ln>
            <a:effectLst/>
          </c:spPr>
          <c:invertIfNegative val="0"/>
          <c:cat>
            <c:strRef>
              <c:f>Sheet4!$A$5:$A$12</c:f>
              <c:strCache>
                <c:ptCount val="8"/>
                <c:pt idx="0">
                  <c:v>CAISO 1-in-10, Portfolio</c:v>
                </c:pt>
                <c:pt idx="1">
                  <c:v>CAISO 1-in-10, Program</c:v>
                </c:pt>
                <c:pt idx="2">
                  <c:v>CAISO 1-in-2, Portfolio</c:v>
                </c:pt>
                <c:pt idx="3">
                  <c:v>CAISO 1-in-2, Program</c:v>
                </c:pt>
                <c:pt idx="4">
                  <c:v>Utility 1-in-10, Portfolio</c:v>
                </c:pt>
                <c:pt idx="5">
                  <c:v>Utility 1-in-10, Program</c:v>
                </c:pt>
                <c:pt idx="6">
                  <c:v>Utility 1-in-2, Portfolio</c:v>
                </c:pt>
                <c:pt idx="7">
                  <c:v>Utility 1-in-2, Program</c:v>
                </c:pt>
              </c:strCache>
            </c:strRef>
          </c:cat>
          <c:val>
            <c:numRef>
              <c:f>Sheet4!$D$5:$D$12</c:f>
              <c:numCache>
                <c:formatCode>General</c:formatCode>
                <c:ptCount val="8"/>
                <c:pt idx="0">
                  <c:v>4.6711090000000004</c:v>
                </c:pt>
                <c:pt idx="1">
                  <c:v>110.73820000000001</c:v>
                </c:pt>
                <c:pt idx="2">
                  <c:v>4.612749</c:v>
                </c:pt>
                <c:pt idx="3">
                  <c:v>110.77119999999999</c:v>
                </c:pt>
                <c:pt idx="4">
                  <c:v>4.6561380000000003</c:v>
                </c:pt>
                <c:pt idx="5">
                  <c:v>110.4674</c:v>
                </c:pt>
                <c:pt idx="6">
                  <c:v>4.6200760000000001</c:v>
                </c:pt>
                <c:pt idx="7">
                  <c:v>110.4324</c:v>
                </c:pt>
              </c:numCache>
            </c:numRef>
          </c:val>
        </c:ser>
        <c:dLbls>
          <c:showLegendKey val="0"/>
          <c:showVal val="0"/>
          <c:showCatName val="0"/>
          <c:showSerName val="0"/>
          <c:showPercent val="0"/>
          <c:showBubbleSize val="0"/>
        </c:dLbls>
        <c:gapWidth val="182"/>
        <c:axId val="434619976"/>
        <c:axId val="434620760"/>
      </c:barChart>
      <c:catAx>
        <c:axId val="4346199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0760"/>
        <c:crosses val="autoZero"/>
        <c:auto val="1"/>
        <c:lblAlgn val="ctr"/>
        <c:lblOffset val="100"/>
        <c:noMultiLvlLbl val="0"/>
      </c:catAx>
      <c:valAx>
        <c:axId val="43462076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99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extLst>
    <c:ext xmlns:c14="http://schemas.microsoft.com/office/drawing/2007/8/2/chart" uri="{781A3756-C4B2-4CAC-9D66-4F8BD8637D16}">
      <c14:pivotOptions>
        <c14:dropZoneFilter val="1"/>
        <c14:dropZoneCategories val="1"/>
        <c14:dropZoneSeries val="1"/>
        <c14:dropZonesVisible val="1"/>
      </c14:pivotOptions>
    </c:ext>
  </c:extLst>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 Level'!$C$2</c:f>
              <c:strCache>
                <c:ptCount val="1"/>
                <c:pt idx="0">
                  <c:v>thi</c:v>
                </c:pt>
              </c:strCache>
            </c:strRef>
          </c:tx>
          <c:spPr>
            <a:ln w="28575" cap="rnd">
              <a:solidFill>
                <a:schemeClr val="accent1"/>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Level'!$D$2:$AA$2</c:f>
              <c:numCache>
                <c:formatCode>0.00</c:formatCode>
                <c:ptCount val="24"/>
                <c:pt idx="0">
                  <c:v>1.9392587244510651E-2</c:v>
                </c:pt>
                <c:pt idx="1">
                  <c:v>1.1447958648204803E-2</c:v>
                </c:pt>
                <c:pt idx="2">
                  <c:v>6.994380964897573E-4</c:v>
                </c:pt>
                <c:pt idx="3">
                  <c:v>1.1220406740903854E-3</c:v>
                </c:pt>
                <c:pt idx="4">
                  <c:v>-2.2420347668230534E-3</c:v>
                </c:pt>
                <c:pt idx="5">
                  <c:v>-2.1064677275717258E-3</c:v>
                </c:pt>
                <c:pt idx="6">
                  <c:v>3.007006598636508E-3</c:v>
                </c:pt>
                <c:pt idx="7">
                  <c:v>5.9247668832540512E-4</c:v>
                </c:pt>
                <c:pt idx="8">
                  <c:v>1.5902718296274543E-3</c:v>
                </c:pt>
                <c:pt idx="9">
                  <c:v>2.9225514736026525E-3</c:v>
                </c:pt>
                <c:pt idx="10">
                  <c:v>7.2868395363911986E-4</c:v>
                </c:pt>
                <c:pt idx="11">
                  <c:v>3.2298784703016281E-2</c:v>
                </c:pt>
                <c:pt idx="12">
                  <c:v>0.13319502770900726</c:v>
                </c:pt>
                <c:pt idx="13">
                  <c:v>0.15131483972072601</c:v>
                </c:pt>
                <c:pt idx="14">
                  <c:v>0.16426354646682739</c:v>
                </c:pt>
                <c:pt idx="15">
                  <c:v>0.18645605444908142</c:v>
                </c:pt>
                <c:pt idx="16">
                  <c:v>0.16684605181217194</c:v>
                </c:pt>
                <c:pt idx="17">
                  <c:v>0.13245415687561035</c:v>
                </c:pt>
                <c:pt idx="18">
                  <c:v>0.11458196491003036</c:v>
                </c:pt>
                <c:pt idx="19">
                  <c:v>0.10958044975996017</c:v>
                </c:pt>
                <c:pt idx="20">
                  <c:v>5.920964851975441E-2</c:v>
                </c:pt>
                <c:pt idx="21">
                  <c:v>2.4009795859456062E-2</c:v>
                </c:pt>
                <c:pt idx="22">
                  <c:v>7.3221640195697546E-4</c:v>
                </c:pt>
                <c:pt idx="23">
                  <c:v>3.9370292797684669E-3</c:v>
                </c:pt>
              </c:numCache>
            </c:numRef>
          </c:val>
          <c:smooth val="0"/>
        </c:ser>
        <c:ser>
          <c:idx val="1"/>
          <c:order val="1"/>
          <c:tx>
            <c:strRef>
              <c:f>'LIs Level'!$C$3</c:f>
              <c:strCache>
                <c:ptCount val="1"/>
                <c:pt idx="0">
                  <c:v>hi</c:v>
                </c:pt>
              </c:strCache>
            </c:strRef>
          </c:tx>
          <c:spPr>
            <a:ln w="28575" cap="rnd">
              <a:solidFill>
                <a:schemeClr val="accent2"/>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Level'!$D$3:$AA$3</c:f>
              <c:numCache>
                <c:formatCode>0.00</c:formatCode>
                <c:ptCount val="24"/>
                <c:pt idx="0">
                  <c:v>1.8862500786781311E-2</c:v>
                </c:pt>
                <c:pt idx="1">
                  <c:v>1.213438156992197E-2</c:v>
                </c:pt>
                <c:pt idx="2">
                  <c:v>1.1968204053118825E-3</c:v>
                </c:pt>
                <c:pt idx="3">
                  <c:v>1.6204009298235178E-3</c:v>
                </c:pt>
                <c:pt idx="4">
                  <c:v>-1.822493621148169E-3</c:v>
                </c:pt>
                <c:pt idx="5">
                  <c:v>-1.7053342889994383E-3</c:v>
                </c:pt>
                <c:pt idx="6">
                  <c:v>3.4304619766771793E-3</c:v>
                </c:pt>
                <c:pt idx="7">
                  <c:v>1.4177552657201886E-3</c:v>
                </c:pt>
                <c:pt idx="8">
                  <c:v>1.2266526464372873E-3</c:v>
                </c:pt>
                <c:pt idx="9">
                  <c:v>5.5273543111979961E-3</c:v>
                </c:pt>
                <c:pt idx="10">
                  <c:v>-2.9719591839239001E-4</c:v>
                </c:pt>
                <c:pt idx="11">
                  <c:v>3.0642816796898842E-2</c:v>
                </c:pt>
                <c:pt idx="12">
                  <c:v>0.13067434728145599</c:v>
                </c:pt>
                <c:pt idx="13">
                  <c:v>0.14977896213531494</c:v>
                </c:pt>
                <c:pt idx="14">
                  <c:v>0.16321203112602234</c:v>
                </c:pt>
                <c:pt idx="15">
                  <c:v>0.18513798713684082</c:v>
                </c:pt>
                <c:pt idx="16">
                  <c:v>0.16633144021034241</c:v>
                </c:pt>
                <c:pt idx="17">
                  <c:v>0.13301727175712585</c:v>
                </c:pt>
                <c:pt idx="18">
                  <c:v>0.11645433306694031</c:v>
                </c:pt>
                <c:pt idx="19">
                  <c:v>0.11192526668310165</c:v>
                </c:pt>
                <c:pt idx="20">
                  <c:v>5.785679817199707E-2</c:v>
                </c:pt>
                <c:pt idx="21">
                  <c:v>2.3302977904677391E-2</c:v>
                </c:pt>
                <c:pt idx="22">
                  <c:v>-4.1687842458486557E-3</c:v>
                </c:pt>
                <c:pt idx="23">
                  <c:v>2.4994008708745241E-3</c:v>
                </c:pt>
              </c:numCache>
            </c:numRef>
          </c:val>
          <c:smooth val="0"/>
        </c:ser>
        <c:ser>
          <c:idx val="2"/>
          <c:order val="2"/>
          <c:tx>
            <c:strRef>
              <c:f>'LIs Level'!$C$4</c:f>
              <c:strCache>
                <c:ptCount val="1"/>
                <c:pt idx="0">
                  <c:v>cdh60</c:v>
                </c:pt>
              </c:strCache>
            </c:strRef>
          </c:tx>
          <c:spPr>
            <a:ln w="28575" cap="rnd">
              <a:solidFill>
                <a:schemeClr val="accent3"/>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Level'!$D$4:$AA$4</c:f>
              <c:numCache>
                <c:formatCode>0.00</c:formatCode>
                <c:ptCount val="24"/>
                <c:pt idx="0">
                  <c:v>1.9349478185176849E-2</c:v>
                </c:pt>
                <c:pt idx="1">
                  <c:v>1.1319609358906746E-2</c:v>
                </c:pt>
                <c:pt idx="2">
                  <c:v>5.77600731048733E-4</c:v>
                </c:pt>
                <c:pt idx="3">
                  <c:v>1.946362666785717E-3</c:v>
                </c:pt>
                <c:pt idx="4">
                  <c:v>-1.0359246516600251E-3</c:v>
                </c:pt>
                <c:pt idx="5">
                  <c:v>-5.3127185674384236E-4</c:v>
                </c:pt>
                <c:pt idx="6">
                  <c:v>4.903966560959816E-3</c:v>
                </c:pt>
                <c:pt idx="7">
                  <c:v>1.9264225848019123E-3</c:v>
                </c:pt>
                <c:pt idx="8">
                  <c:v>2.4028664920479059E-3</c:v>
                </c:pt>
                <c:pt idx="9">
                  <c:v>3.5055705811828375E-3</c:v>
                </c:pt>
                <c:pt idx="10">
                  <c:v>-3.4440151648595929E-4</c:v>
                </c:pt>
                <c:pt idx="11">
                  <c:v>3.0680874362587929E-2</c:v>
                </c:pt>
                <c:pt idx="12">
                  <c:v>0.13045375049114227</c:v>
                </c:pt>
                <c:pt idx="13">
                  <c:v>0.14901219308376312</c:v>
                </c:pt>
                <c:pt idx="14">
                  <c:v>0.16225740313529968</c:v>
                </c:pt>
                <c:pt idx="15">
                  <c:v>0.18492379784584045</c:v>
                </c:pt>
                <c:pt idx="16">
                  <c:v>0.16508197784423828</c:v>
                </c:pt>
                <c:pt idx="17">
                  <c:v>0.13053193688392639</c:v>
                </c:pt>
                <c:pt idx="18">
                  <c:v>0.11349871754646301</c:v>
                </c:pt>
                <c:pt idx="19">
                  <c:v>0.10833100229501724</c:v>
                </c:pt>
                <c:pt idx="20">
                  <c:v>5.6323360651731491E-2</c:v>
                </c:pt>
                <c:pt idx="21">
                  <c:v>2.1158074960112572E-2</c:v>
                </c:pt>
                <c:pt idx="22">
                  <c:v>-2.8307281900197268E-3</c:v>
                </c:pt>
                <c:pt idx="23">
                  <c:v>-1.6309317434206605E-3</c:v>
                </c:pt>
              </c:numCache>
            </c:numRef>
          </c:val>
          <c:smooth val="0"/>
        </c:ser>
        <c:ser>
          <c:idx val="3"/>
          <c:order val="3"/>
          <c:tx>
            <c:strRef>
              <c:f>'LIs Level'!$C$5</c:f>
              <c:strCache>
                <c:ptCount val="1"/>
                <c:pt idx="0">
                  <c:v>cdh65</c:v>
                </c:pt>
              </c:strCache>
            </c:strRef>
          </c:tx>
          <c:spPr>
            <a:ln w="28575" cap="rnd">
              <a:solidFill>
                <a:schemeClr val="accent4"/>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Level'!$D$5:$AA$5</c:f>
              <c:numCache>
                <c:formatCode>0.00</c:formatCode>
                <c:ptCount val="24"/>
                <c:pt idx="0">
                  <c:v>1.8864540383219719E-2</c:v>
                </c:pt>
                <c:pt idx="1">
                  <c:v>1.1966320686042309E-2</c:v>
                </c:pt>
                <c:pt idx="2">
                  <c:v>3.2332180999219418E-3</c:v>
                </c:pt>
                <c:pt idx="3">
                  <c:v>6.1668823473155499E-3</c:v>
                </c:pt>
                <c:pt idx="4">
                  <c:v>2.3687309585511684E-3</c:v>
                </c:pt>
                <c:pt idx="5">
                  <c:v>1.9094786839559674E-3</c:v>
                </c:pt>
                <c:pt idx="6">
                  <c:v>5.7673635892570019E-3</c:v>
                </c:pt>
                <c:pt idx="7">
                  <c:v>2.0131280180066824E-3</c:v>
                </c:pt>
                <c:pt idx="8">
                  <c:v>1.5823891153559089E-3</c:v>
                </c:pt>
                <c:pt idx="9">
                  <c:v>2.8853635303676128E-3</c:v>
                </c:pt>
                <c:pt idx="10">
                  <c:v>-6.4692262094467878E-4</c:v>
                </c:pt>
                <c:pt idx="11">
                  <c:v>3.043767623603344E-2</c:v>
                </c:pt>
                <c:pt idx="12">
                  <c:v>0.13021692633628845</c:v>
                </c:pt>
                <c:pt idx="13">
                  <c:v>0.14877913892269135</c:v>
                </c:pt>
                <c:pt idx="14">
                  <c:v>0.16202475130558014</c:v>
                </c:pt>
                <c:pt idx="15">
                  <c:v>0.18468882143497467</c:v>
                </c:pt>
                <c:pt idx="16">
                  <c:v>0.16484746336936951</c:v>
                </c:pt>
                <c:pt idx="17">
                  <c:v>0.13027393817901611</c:v>
                </c:pt>
                <c:pt idx="18">
                  <c:v>0.11269979178905487</c:v>
                </c:pt>
                <c:pt idx="19">
                  <c:v>0.10579891502857208</c:v>
                </c:pt>
                <c:pt idx="20">
                  <c:v>5.2453022450208664E-2</c:v>
                </c:pt>
                <c:pt idx="21">
                  <c:v>1.5975333750247955E-2</c:v>
                </c:pt>
                <c:pt idx="22">
                  <c:v>-8.4241935983300209E-3</c:v>
                </c:pt>
                <c:pt idx="23">
                  <c:v>-8.3204722031950951E-3</c:v>
                </c:pt>
              </c:numCache>
            </c:numRef>
          </c:val>
          <c:smooth val="0"/>
        </c:ser>
        <c:ser>
          <c:idx val="4"/>
          <c:order val="4"/>
          <c:tx>
            <c:strRef>
              <c:f>'LIs Level'!$C$6</c:f>
              <c:strCache>
                <c:ptCount val="1"/>
                <c:pt idx="0">
                  <c:v>cdh60_3ma</c:v>
                </c:pt>
              </c:strCache>
            </c:strRef>
          </c:tx>
          <c:spPr>
            <a:ln w="28575" cap="rnd">
              <a:solidFill>
                <a:schemeClr val="accent5"/>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Level'!$D$6:$AA$6</c:f>
              <c:numCache>
                <c:formatCode>0.00</c:formatCode>
                <c:ptCount val="24"/>
                <c:pt idx="0">
                  <c:v>1.9777169451117516E-2</c:v>
                </c:pt>
                <c:pt idx="1">
                  <c:v>1.1248218826949596E-2</c:v>
                </c:pt>
                <c:pt idx="2">
                  <c:v>7.1126024704426527E-4</c:v>
                </c:pt>
                <c:pt idx="3">
                  <c:v>2.1316555794328451E-3</c:v>
                </c:pt>
                <c:pt idx="4">
                  <c:v>-9.0678839478641748E-4</c:v>
                </c:pt>
                <c:pt idx="5">
                  <c:v>-5.2668707212433219E-4</c:v>
                </c:pt>
                <c:pt idx="6">
                  <c:v>4.8675509169697762E-3</c:v>
                </c:pt>
                <c:pt idx="7">
                  <c:v>1.0120881488546729E-3</c:v>
                </c:pt>
                <c:pt idx="8">
                  <c:v>1.4761697966605425E-3</c:v>
                </c:pt>
                <c:pt idx="9">
                  <c:v>1.8141417531296611E-3</c:v>
                </c:pt>
                <c:pt idx="10">
                  <c:v>-1.1115134693682194E-3</c:v>
                </c:pt>
                <c:pt idx="11">
                  <c:v>2.9822073876857758E-2</c:v>
                </c:pt>
                <c:pt idx="12">
                  <c:v>0.12961195409297943</c:v>
                </c:pt>
                <c:pt idx="13">
                  <c:v>0.14666473865509033</c:v>
                </c:pt>
                <c:pt idx="14">
                  <c:v>0.16047970950603485</c:v>
                </c:pt>
                <c:pt idx="15">
                  <c:v>0.18378682434558868</c:v>
                </c:pt>
                <c:pt idx="16">
                  <c:v>0.16485221683979034</c:v>
                </c:pt>
                <c:pt idx="17">
                  <c:v>0.13079556822776794</c:v>
                </c:pt>
                <c:pt idx="18">
                  <c:v>0.11460251361131668</c:v>
                </c:pt>
                <c:pt idx="19">
                  <c:v>0.10946206748485565</c:v>
                </c:pt>
                <c:pt idx="20">
                  <c:v>5.7610291987657547E-2</c:v>
                </c:pt>
                <c:pt idx="21">
                  <c:v>2.2933453321456909E-2</c:v>
                </c:pt>
                <c:pt idx="22">
                  <c:v>-1.8237089971080422E-3</c:v>
                </c:pt>
                <c:pt idx="23">
                  <c:v>-2.234800485894084E-3</c:v>
                </c:pt>
              </c:numCache>
            </c:numRef>
          </c:val>
          <c:smooth val="0"/>
        </c:ser>
        <c:ser>
          <c:idx val="5"/>
          <c:order val="5"/>
          <c:tx>
            <c:strRef>
              <c:f>'LIs Level'!$C$7</c:f>
              <c:strCache>
                <c:ptCount val="1"/>
                <c:pt idx="0">
                  <c:v>cdh65_3ma</c:v>
                </c:pt>
              </c:strCache>
            </c:strRef>
          </c:tx>
          <c:spPr>
            <a:ln w="28575" cap="rnd">
              <a:solidFill>
                <a:schemeClr val="accent6"/>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Level'!$D$7:$AA$7</c:f>
              <c:numCache>
                <c:formatCode>0.00</c:formatCode>
                <c:ptCount val="24"/>
                <c:pt idx="0">
                  <c:v>1.9565267488360405E-2</c:v>
                </c:pt>
                <c:pt idx="1">
                  <c:v>1.1667997576296329E-2</c:v>
                </c:pt>
                <c:pt idx="2">
                  <c:v>2.4732702877372503E-3</c:v>
                </c:pt>
                <c:pt idx="3">
                  <c:v>5.5545489303767681E-3</c:v>
                </c:pt>
                <c:pt idx="4">
                  <c:v>2.1979676093906164E-3</c:v>
                </c:pt>
                <c:pt idx="5">
                  <c:v>1.4834085013717413E-3</c:v>
                </c:pt>
                <c:pt idx="6">
                  <c:v>5.8758994564414024E-3</c:v>
                </c:pt>
                <c:pt idx="7">
                  <c:v>1.6398958396166563E-3</c:v>
                </c:pt>
                <c:pt idx="8">
                  <c:v>7.5637223199009895E-4</c:v>
                </c:pt>
                <c:pt idx="9">
                  <c:v>5.0354242557659745E-4</c:v>
                </c:pt>
                <c:pt idx="10">
                  <c:v>-3.153220983222127E-3</c:v>
                </c:pt>
                <c:pt idx="11">
                  <c:v>2.8381364420056343E-2</c:v>
                </c:pt>
                <c:pt idx="12">
                  <c:v>0.12897655367851257</c:v>
                </c:pt>
                <c:pt idx="13">
                  <c:v>0.14631907641887665</c:v>
                </c:pt>
                <c:pt idx="14">
                  <c:v>0.16022580862045288</c:v>
                </c:pt>
                <c:pt idx="15">
                  <c:v>0.18358278274536133</c:v>
                </c:pt>
                <c:pt idx="16">
                  <c:v>0.16464853286743164</c:v>
                </c:pt>
                <c:pt idx="17">
                  <c:v>0.1305917352437973</c:v>
                </c:pt>
                <c:pt idx="18">
                  <c:v>0.11438550055027008</c:v>
                </c:pt>
                <c:pt idx="19">
                  <c:v>0.10906130075454712</c:v>
                </c:pt>
                <c:pt idx="20">
                  <c:v>5.6618750095367432E-2</c:v>
                </c:pt>
                <c:pt idx="21">
                  <c:v>2.0747199654579163E-2</c:v>
                </c:pt>
                <c:pt idx="22">
                  <c:v>-4.7138212248682976E-3</c:v>
                </c:pt>
                <c:pt idx="23">
                  <c:v>-6.893061101436615E-3</c:v>
                </c:pt>
              </c:numCache>
            </c:numRef>
          </c:val>
          <c:smooth val="0"/>
        </c:ser>
        <c:ser>
          <c:idx val="6"/>
          <c:order val="6"/>
          <c:tx>
            <c:strRef>
              <c:f>'LIs Level'!$C$8</c:f>
              <c:strCache>
                <c:ptCount val="1"/>
                <c:pt idx="0">
                  <c:v>thi thi_24ma</c:v>
                </c:pt>
              </c:strCache>
            </c:strRef>
          </c:tx>
          <c:spPr>
            <a:ln w="28575" cap="rnd">
              <a:solidFill>
                <a:schemeClr val="accent1">
                  <a:lumMod val="6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Level'!$D$8:$AA$8</c:f>
              <c:numCache>
                <c:formatCode>0.00</c:formatCode>
                <c:ptCount val="24"/>
                <c:pt idx="0">
                  <c:v>1.9934285432100296E-2</c:v>
                </c:pt>
                <c:pt idx="1">
                  <c:v>1.0624037124216557E-2</c:v>
                </c:pt>
                <c:pt idx="2">
                  <c:v>-3.6122516030445695E-4</c:v>
                </c:pt>
                <c:pt idx="3">
                  <c:v>1.1095732916146517E-3</c:v>
                </c:pt>
                <c:pt idx="4">
                  <c:v>-2.2596600465476513E-3</c:v>
                </c:pt>
                <c:pt idx="5">
                  <c:v>-2.1901053842157125E-3</c:v>
                </c:pt>
                <c:pt idx="6">
                  <c:v>2.9940961394459009E-3</c:v>
                </c:pt>
                <c:pt idx="7">
                  <c:v>-7.2067283326759934E-4</c:v>
                </c:pt>
                <c:pt idx="8">
                  <c:v>6.9225276820361614E-4</c:v>
                </c:pt>
                <c:pt idx="9">
                  <c:v>1.8081598682329059E-3</c:v>
                </c:pt>
                <c:pt idx="10">
                  <c:v>2.7992617106065154E-4</c:v>
                </c:pt>
                <c:pt idx="11">
                  <c:v>3.2483108341693878E-2</c:v>
                </c:pt>
                <c:pt idx="12">
                  <c:v>0.13432513177394867</c:v>
                </c:pt>
                <c:pt idx="13">
                  <c:v>0.15145500004291534</c:v>
                </c:pt>
                <c:pt idx="14">
                  <c:v>0.16466942429542542</c:v>
                </c:pt>
                <c:pt idx="15">
                  <c:v>0.18692322075366974</c:v>
                </c:pt>
                <c:pt idx="16">
                  <c:v>0.16679640114307404</c:v>
                </c:pt>
                <c:pt idx="17">
                  <c:v>0.13211332261562347</c:v>
                </c:pt>
                <c:pt idx="18">
                  <c:v>0.11430476605892181</c:v>
                </c:pt>
                <c:pt idx="19">
                  <c:v>0.1091274693608284</c:v>
                </c:pt>
                <c:pt idx="20">
                  <c:v>5.7882774621248245E-2</c:v>
                </c:pt>
                <c:pt idx="21">
                  <c:v>2.2835211828351021E-2</c:v>
                </c:pt>
                <c:pt idx="22">
                  <c:v>-4.1971844621002674E-4</c:v>
                </c:pt>
                <c:pt idx="23">
                  <c:v>3.2291335519403219E-3</c:v>
                </c:pt>
              </c:numCache>
            </c:numRef>
          </c:val>
          <c:smooth val="0"/>
        </c:ser>
        <c:ser>
          <c:idx val="7"/>
          <c:order val="7"/>
          <c:tx>
            <c:strRef>
              <c:f>'LIs Level'!$C$9</c:f>
              <c:strCache>
                <c:ptCount val="1"/>
                <c:pt idx="0">
                  <c:v>hi hi_24ma</c:v>
                </c:pt>
              </c:strCache>
            </c:strRef>
          </c:tx>
          <c:spPr>
            <a:ln w="28575" cap="rnd">
              <a:solidFill>
                <a:schemeClr val="accent2">
                  <a:lumMod val="6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Level'!$D$9:$AA$9</c:f>
              <c:numCache>
                <c:formatCode>0.00</c:formatCode>
                <c:ptCount val="24"/>
                <c:pt idx="0">
                  <c:v>2.0923445001244545E-2</c:v>
                </c:pt>
                <c:pt idx="1">
                  <c:v>9.4665717333555222E-3</c:v>
                </c:pt>
                <c:pt idx="2">
                  <c:v>2.839451190084219E-4</c:v>
                </c:pt>
                <c:pt idx="3">
                  <c:v>1.7354189185425639E-3</c:v>
                </c:pt>
                <c:pt idx="4">
                  <c:v>-1.7277790466323495E-3</c:v>
                </c:pt>
                <c:pt idx="5">
                  <c:v>-1.6733015654608607E-3</c:v>
                </c:pt>
                <c:pt idx="6">
                  <c:v>3.4300978295505047E-3</c:v>
                </c:pt>
                <c:pt idx="7">
                  <c:v>8.2046506577171385E-5</c:v>
                </c:pt>
                <c:pt idx="8">
                  <c:v>1.6855354188010097E-3</c:v>
                </c:pt>
                <c:pt idx="9">
                  <c:v>4.2633498087525368E-3</c:v>
                </c:pt>
                <c:pt idx="10">
                  <c:v>-1.1573307347134687E-5</c:v>
                </c:pt>
                <c:pt idx="11">
                  <c:v>3.1372100114822388E-2</c:v>
                </c:pt>
                <c:pt idx="12">
                  <c:v>0.1335921436548233</c:v>
                </c:pt>
                <c:pt idx="13">
                  <c:v>0.15022657811641693</c:v>
                </c:pt>
                <c:pt idx="14">
                  <c:v>0.16367216408252716</c:v>
                </c:pt>
                <c:pt idx="15">
                  <c:v>0.1860039085149765</c:v>
                </c:pt>
                <c:pt idx="16">
                  <c:v>0.16638343036174774</c:v>
                </c:pt>
                <c:pt idx="17">
                  <c:v>0.13261096179485321</c:v>
                </c:pt>
                <c:pt idx="18">
                  <c:v>0.11634262651205063</c:v>
                </c:pt>
                <c:pt idx="19">
                  <c:v>0.11132261902093887</c:v>
                </c:pt>
                <c:pt idx="20">
                  <c:v>5.9044182300567627E-2</c:v>
                </c:pt>
                <c:pt idx="21">
                  <c:v>2.2952212020754814E-2</c:v>
                </c:pt>
                <c:pt idx="22">
                  <c:v>-7.4077323079109192E-3</c:v>
                </c:pt>
                <c:pt idx="23">
                  <c:v>-1.9408361986279488E-3</c:v>
                </c:pt>
              </c:numCache>
            </c:numRef>
          </c:val>
          <c:smooth val="0"/>
        </c:ser>
        <c:ser>
          <c:idx val="8"/>
          <c:order val="8"/>
          <c:tx>
            <c:strRef>
              <c:f>'LIs Level'!$C$10</c:f>
              <c:strCache>
                <c:ptCount val="1"/>
                <c:pt idx="0">
                  <c:v>cdh60 cdh60_24ma</c:v>
                </c:pt>
              </c:strCache>
            </c:strRef>
          </c:tx>
          <c:spPr>
            <a:ln w="28575" cap="rnd">
              <a:solidFill>
                <a:schemeClr val="accent3">
                  <a:lumMod val="6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Level'!$D$10:$AA$10</c:f>
              <c:numCache>
                <c:formatCode>0.00</c:formatCode>
                <c:ptCount val="24"/>
                <c:pt idx="0">
                  <c:v>1.960073783993721E-2</c:v>
                </c:pt>
                <c:pt idx="1">
                  <c:v>1.0953404940664768E-2</c:v>
                </c:pt>
                <c:pt idx="2">
                  <c:v>1.8266223196405917E-4</c:v>
                </c:pt>
                <c:pt idx="3">
                  <c:v>1.7764056101441383E-3</c:v>
                </c:pt>
                <c:pt idx="4">
                  <c:v>-1.2105691712349653E-3</c:v>
                </c:pt>
                <c:pt idx="5">
                  <c:v>-4.694586677942425E-4</c:v>
                </c:pt>
                <c:pt idx="6">
                  <c:v>4.659741185605526E-3</c:v>
                </c:pt>
                <c:pt idx="7">
                  <c:v>1.3066555839031935E-3</c:v>
                </c:pt>
                <c:pt idx="8">
                  <c:v>2.3264717310667038E-3</c:v>
                </c:pt>
                <c:pt idx="9">
                  <c:v>2.6158264372497797E-3</c:v>
                </c:pt>
                <c:pt idx="10">
                  <c:v>-1.0731878137448803E-4</c:v>
                </c:pt>
                <c:pt idx="11">
                  <c:v>3.1499240547418594E-2</c:v>
                </c:pt>
                <c:pt idx="12">
                  <c:v>0.13297231495380402</c:v>
                </c:pt>
                <c:pt idx="13">
                  <c:v>0.14998659491539001</c:v>
                </c:pt>
                <c:pt idx="14">
                  <c:v>0.16393578052520752</c:v>
                </c:pt>
                <c:pt idx="15">
                  <c:v>0.1862463504076004</c:v>
                </c:pt>
                <c:pt idx="16">
                  <c:v>0.16576902568340302</c:v>
                </c:pt>
                <c:pt idx="17">
                  <c:v>0.13056491315364838</c:v>
                </c:pt>
                <c:pt idx="18">
                  <c:v>0.11336266994476318</c:v>
                </c:pt>
                <c:pt idx="19">
                  <c:v>0.10813762247562408</c:v>
                </c:pt>
                <c:pt idx="20">
                  <c:v>5.4643981158733368E-2</c:v>
                </c:pt>
                <c:pt idx="21">
                  <c:v>1.879454217851162E-2</c:v>
                </c:pt>
                <c:pt idx="22">
                  <c:v>-5.6636873632669449E-3</c:v>
                </c:pt>
                <c:pt idx="23">
                  <c:v>-3.2315317075699568E-3</c:v>
                </c:pt>
              </c:numCache>
            </c:numRef>
          </c:val>
          <c:smooth val="0"/>
        </c:ser>
        <c:ser>
          <c:idx val="9"/>
          <c:order val="9"/>
          <c:tx>
            <c:strRef>
              <c:f>'LIs Level'!$C$11</c:f>
              <c:strCache>
                <c:ptCount val="1"/>
                <c:pt idx="0">
                  <c:v>cdh65 cdh65_24ma</c:v>
                </c:pt>
              </c:strCache>
            </c:strRef>
          </c:tx>
          <c:spPr>
            <a:ln w="50800" cap="rnd">
              <a:solidFill>
                <a:schemeClr val="accent4">
                  <a:lumMod val="6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Level'!$D$11:$AA$11</c:f>
              <c:numCache>
                <c:formatCode>0.00</c:formatCode>
                <c:ptCount val="24"/>
                <c:pt idx="0">
                  <c:v>1.9841326400637627E-2</c:v>
                </c:pt>
                <c:pt idx="1">
                  <c:v>1.1410165578126907E-2</c:v>
                </c:pt>
                <c:pt idx="2">
                  <c:v>1.5559684252366424E-3</c:v>
                </c:pt>
                <c:pt idx="3">
                  <c:v>4.3539083562791348E-3</c:v>
                </c:pt>
                <c:pt idx="4">
                  <c:v>1.1420453665778041E-3</c:v>
                </c:pt>
                <c:pt idx="5">
                  <c:v>1.9689635373651981E-3</c:v>
                </c:pt>
                <c:pt idx="6">
                  <c:v>5.5213747546076775E-3</c:v>
                </c:pt>
                <c:pt idx="7">
                  <c:v>1.5717637725174427E-3</c:v>
                </c:pt>
                <c:pt idx="8">
                  <c:v>2.2813607938587666E-3</c:v>
                </c:pt>
                <c:pt idx="9">
                  <c:v>2.8542028740048409E-3</c:v>
                </c:pt>
                <c:pt idx="10">
                  <c:v>-2.4071162624750286E-4</c:v>
                </c:pt>
                <c:pt idx="11">
                  <c:v>3.1022274866700172E-2</c:v>
                </c:pt>
                <c:pt idx="12">
                  <c:v>0.13218389451503754</c:v>
                </c:pt>
                <c:pt idx="13">
                  <c:v>0.14935620129108429</c:v>
                </c:pt>
                <c:pt idx="14">
                  <c:v>0.16292838752269745</c:v>
                </c:pt>
                <c:pt idx="15">
                  <c:v>0.18529534339904785</c:v>
                </c:pt>
                <c:pt idx="16">
                  <c:v>0.16506043076515198</c:v>
                </c:pt>
                <c:pt idx="17">
                  <c:v>0.1301555335521698</c:v>
                </c:pt>
                <c:pt idx="18">
                  <c:v>0.11249291896820068</c:v>
                </c:pt>
                <c:pt idx="19">
                  <c:v>0.1052435040473938</c:v>
                </c:pt>
                <c:pt idx="20">
                  <c:v>4.9043688923120499E-2</c:v>
                </c:pt>
                <c:pt idx="21">
                  <c:v>1.2916028499603271E-2</c:v>
                </c:pt>
                <c:pt idx="22">
                  <c:v>-1.1200359091162682E-2</c:v>
                </c:pt>
                <c:pt idx="23">
                  <c:v>-8.9257108047604561E-3</c:v>
                </c:pt>
              </c:numCache>
            </c:numRef>
          </c:val>
          <c:smooth val="0"/>
        </c:ser>
        <c:ser>
          <c:idx val="10"/>
          <c:order val="10"/>
          <c:tx>
            <c:strRef>
              <c:f>'LIs Level'!$C$12</c:f>
              <c:strCache>
                <c:ptCount val="1"/>
                <c:pt idx="0">
                  <c:v>cdh60_3ma cdh60_24ma</c:v>
                </c:pt>
              </c:strCache>
            </c:strRef>
          </c:tx>
          <c:spPr>
            <a:ln w="28575" cap="rnd">
              <a:solidFill>
                <a:schemeClr val="accent5">
                  <a:lumMod val="6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Level'!$D$12:$AA$12</c:f>
              <c:numCache>
                <c:formatCode>0.00</c:formatCode>
                <c:ptCount val="24"/>
                <c:pt idx="0">
                  <c:v>1.9423129037022591E-2</c:v>
                </c:pt>
                <c:pt idx="1">
                  <c:v>1.0812056250870228E-2</c:v>
                </c:pt>
                <c:pt idx="2">
                  <c:v>2.9181427089497447E-4</c:v>
                </c:pt>
                <c:pt idx="3">
                  <c:v>2.1506226621568203E-3</c:v>
                </c:pt>
                <c:pt idx="4">
                  <c:v>-9.5167086692526937E-4</c:v>
                </c:pt>
                <c:pt idx="5">
                  <c:v>-3.9575796108692884E-4</c:v>
                </c:pt>
                <c:pt idx="6">
                  <c:v>4.5261676423251629E-3</c:v>
                </c:pt>
                <c:pt idx="7">
                  <c:v>7.0258037885650992E-4</c:v>
                </c:pt>
                <c:pt idx="8">
                  <c:v>2.0030359737575054E-3</c:v>
                </c:pt>
                <c:pt idx="9">
                  <c:v>2.3550002370029688E-3</c:v>
                </c:pt>
                <c:pt idx="10">
                  <c:v>-4.5080791460350156E-4</c:v>
                </c:pt>
                <c:pt idx="11">
                  <c:v>3.0743381008505821E-2</c:v>
                </c:pt>
                <c:pt idx="12">
                  <c:v>0.13250958919525146</c:v>
                </c:pt>
                <c:pt idx="13">
                  <c:v>0.14857195317745209</c:v>
                </c:pt>
                <c:pt idx="14">
                  <c:v>0.16273708641529083</c:v>
                </c:pt>
                <c:pt idx="15">
                  <c:v>0.18482233583927155</c:v>
                </c:pt>
                <c:pt idx="16">
                  <c:v>0.16502015292644501</c:v>
                </c:pt>
                <c:pt idx="17">
                  <c:v>0.13060463964939117</c:v>
                </c:pt>
                <c:pt idx="18">
                  <c:v>0.11432186514139175</c:v>
                </c:pt>
                <c:pt idx="19">
                  <c:v>0.10907953977584839</c:v>
                </c:pt>
                <c:pt idx="20">
                  <c:v>5.7229150086641312E-2</c:v>
                </c:pt>
                <c:pt idx="21">
                  <c:v>2.2174602374434471E-2</c:v>
                </c:pt>
                <c:pt idx="22">
                  <c:v>-3.958593588322401E-3</c:v>
                </c:pt>
                <c:pt idx="23">
                  <c:v>-7.0007927715778351E-3</c:v>
                </c:pt>
              </c:numCache>
            </c:numRef>
          </c:val>
          <c:smooth val="0"/>
        </c:ser>
        <c:ser>
          <c:idx val="11"/>
          <c:order val="11"/>
          <c:tx>
            <c:strRef>
              <c:f>'LIs Level'!$C$13</c:f>
              <c:strCache>
                <c:ptCount val="1"/>
                <c:pt idx="0">
                  <c:v>cdh65_3ma cdh65_24ma</c:v>
                </c:pt>
              </c:strCache>
            </c:strRef>
          </c:tx>
          <c:spPr>
            <a:ln w="28575" cap="rnd">
              <a:solidFill>
                <a:schemeClr val="accent6">
                  <a:lumMod val="6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Level'!$D$13:$AA$13</c:f>
              <c:numCache>
                <c:formatCode>0.00</c:formatCode>
                <c:ptCount val="24"/>
                <c:pt idx="0">
                  <c:v>1.9510364159941673E-2</c:v>
                </c:pt>
                <c:pt idx="1">
                  <c:v>1.1288558132946491E-2</c:v>
                </c:pt>
                <c:pt idx="2">
                  <c:v>1.4496417716145515E-3</c:v>
                </c:pt>
                <c:pt idx="3">
                  <c:v>4.2086634784936905E-3</c:v>
                </c:pt>
                <c:pt idx="4">
                  <c:v>9.1980851721018553E-4</c:v>
                </c:pt>
                <c:pt idx="5">
                  <c:v>1.2118762824684381E-3</c:v>
                </c:pt>
                <c:pt idx="6">
                  <c:v>5.3851944394409657E-3</c:v>
                </c:pt>
                <c:pt idx="7">
                  <c:v>1.4204722829163074E-3</c:v>
                </c:pt>
                <c:pt idx="8">
                  <c:v>2.3236642591655254E-3</c:v>
                </c:pt>
                <c:pt idx="9">
                  <c:v>2.4543292820453644E-3</c:v>
                </c:pt>
                <c:pt idx="10">
                  <c:v>-7.884507067501545E-4</c:v>
                </c:pt>
                <c:pt idx="11">
                  <c:v>3.0185181647539139E-2</c:v>
                </c:pt>
                <c:pt idx="12">
                  <c:v>0.13156181573867798</c:v>
                </c:pt>
                <c:pt idx="13">
                  <c:v>0.14747197926044464</c:v>
                </c:pt>
                <c:pt idx="14">
                  <c:v>0.16123233735561371</c:v>
                </c:pt>
                <c:pt idx="15">
                  <c:v>0.18369629979133606</c:v>
                </c:pt>
                <c:pt idx="16">
                  <c:v>0.16430588066577911</c:v>
                </c:pt>
                <c:pt idx="17">
                  <c:v>0.1300608217716217</c:v>
                </c:pt>
                <c:pt idx="18">
                  <c:v>0.11404947191476822</c:v>
                </c:pt>
                <c:pt idx="19">
                  <c:v>0.10895229130983353</c:v>
                </c:pt>
                <c:pt idx="20">
                  <c:v>5.6044589728116989E-2</c:v>
                </c:pt>
                <c:pt idx="21">
                  <c:v>1.9418941810727119E-2</c:v>
                </c:pt>
                <c:pt idx="22">
                  <c:v>-9.1125862672924995E-3</c:v>
                </c:pt>
                <c:pt idx="23">
                  <c:v>-1.3932927511632442E-2</c:v>
                </c:pt>
              </c:numCache>
            </c:numRef>
          </c:val>
          <c:smooth val="0"/>
        </c:ser>
        <c:ser>
          <c:idx val="12"/>
          <c:order val="12"/>
          <c:tx>
            <c:strRef>
              <c:f>'LIs Level'!$C$14</c:f>
              <c:strCache>
                <c:ptCount val="1"/>
                <c:pt idx="0">
                  <c:v>thi lagcdd60</c:v>
                </c:pt>
              </c:strCache>
            </c:strRef>
          </c:tx>
          <c:spPr>
            <a:ln w="28575" cap="rnd">
              <a:solidFill>
                <a:schemeClr val="accent1">
                  <a:lumMod val="80000"/>
                  <a:lumOff val="2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Level'!$D$14:$AA$14</c:f>
              <c:numCache>
                <c:formatCode>0.00</c:formatCode>
                <c:ptCount val="24"/>
                <c:pt idx="0">
                  <c:v>1.917271688580513E-2</c:v>
                </c:pt>
                <c:pt idx="1">
                  <c:v>9.8771238699555397E-3</c:v>
                </c:pt>
                <c:pt idx="2">
                  <c:v>-6.0078495880588889E-4</c:v>
                </c:pt>
                <c:pt idx="3">
                  <c:v>1.2083160690963268E-3</c:v>
                </c:pt>
                <c:pt idx="4">
                  <c:v>-2.2784634493291378E-3</c:v>
                </c:pt>
                <c:pt idx="5">
                  <c:v>-1.9958189222961664E-3</c:v>
                </c:pt>
                <c:pt idx="6">
                  <c:v>2.768628066405654E-3</c:v>
                </c:pt>
                <c:pt idx="7">
                  <c:v>-4.2949168710038066E-4</c:v>
                </c:pt>
                <c:pt idx="8">
                  <c:v>1.1355682509019971E-3</c:v>
                </c:pt>
                <c:pt idx="9">
                  <c:v>2.1213255822658539E-3</c:v>
                </c:pt>
                <c:pt idx="10">
                  <c:v>7.2714302223175764E-4</c:v>
                </c:pt>
                <c:pt idx="11">
                  <c:v>3.2338771969079971E-2</c:v>
                </c:pt>
                <c:pt idx="12">
                  <c:v>0.13431811332702637</c:v>
                </c:pt>
                <c:pt idx="13">
                  <c:v>0.1521531343460083</c:v>
                </c:pt>
                <c:pt idx="14">
                  <c:v>0.16556905210018158</c:v>
                </c:pt>
                <c:pt idx="15">
                  <c:v>0.18758419156074524</c:v>
                </c:pt>
                <c:pt idx="16">
                  <c:v>0.16751986742019653</c:v>
                </c:pt>
                <c:pt idx="17">
                  <c:v>0.1341274082660675</c:v>
                </c:pt>
                <c:pt idx="18">
                  <c:v>0.11721143871545792</c:v>
                </c:pt>
                <c:pt idx="19">
                  <c:v>0.11166764050722122</c:v>
                </c:pt>
                <c:pt idx="20">
                  <c:v>6.1442892998456955E-2</c:v>
                </c:pt>
                <c:pt idx="21">
                  <c:v>2.631707489490509E-2</c:v>
                </c:pt>
                <c:pt idx="22">
                  <c:v>3.0581897590309381E-3</c:v>
                </c:pt>
                <c:pt idx="23">
                  <c:v>6.599085871130228E-3</c:v>
                </c:pt>
              </c:numCache>
            </c:numRef>
          </c:val>
          <c:smooth val="0"/>
        </c:ser>
        <c:ser>
          <c:idx val="13"/>
          <c:order val="13"/>
          <c:tx>
            <c:strRef>
              <c:f>'LIs Level'!$C$15</c:f>
              <c:strCache>
                <c:ptCount val="1"/>
                <c:pt idx="0">
                  <c:v>hi lagcdd60</c:v>
                </c:pt>
              </c:strCache>
            </c:strRef>
          </c:tx>
          <c:spPr>
            <a:ln w="28575" cap="rnd">
              <a:solidFill>
                <a:schemeClr val="accent2">
                  <a:lumMod val="80000"/>
                  <a:lumOff val="2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Level'!$D$15:$AA$15</c:f>
              <c:numCache>
                <c:formatCode>0.00</c:formatCode>
                <c:ptCount val="24"/>
                <c:pt idx="0">
                  <c:v>1.996045745909214E-2</c:v>
                </c:pt>
                <c:pt idx="1">
                  <c:v>8.3093727007508278E-3</c:v>
                </c:pt>
                <c:pt idx="2">
                  <c:v>-3.9889296749606729E-4</c:v>
                </c:pt>
                <c:pt idx="3">
                  <c:v>1.6330402577295899E-3</c:v>
                </c:pt>
                <c:pt idx="4">
                  <c:v>-2.0079659298062325E-3</c:v>
                </c:pt>
                <c:pt idx="5">
                  <c:v>-1.7696536378934979E-3</c:v>
                </c:pt>
                <c:pt idx="6">
                  <c:v>2.9760973993688822E-3</c:v>
                </c:pt>
                <c:pt idx="7">
                  <c:v>-3.6775658372789621E-4</c:v>
                </c:pt>
                <c:pt idx="8">
                  <c:v>1.2828405015170574E-3</c:v>
                </c:pt>
                <c:pt idx="9">
                  <c:v>3.5885574761778116E-3</c:v>
                </c:pt>
                <c:pt idx="10">
                  <c:v>9.1091351350769401E-6</c:v>
                </c:pt>
                <c:pt idx="11">
                  <c:v>3.1073791906237602E-2</c:v>
                </c:pt>
                <c:pt idx="12">
                  <c:v>0.13320682942867279</c:v>
                </c:pt>
                <c:pt idx="13">
                  <c:v>0.15114031732082367</c:v>
                </c:pt>
                <c:pt idx="14">
                  <c:v>0.16499695181846619</c:v>
                </c:pt>
                <c:pt idx="15">
                  <c:v>0.18683609366416931</c:v>
                </c:pt>
                <c:pt idx="16">
                  <c:v>0.16730010509490967</c:v>
                </c:pt>
                <c:pt idx="17">
                  <c:v>0.13496527075767517</c:v>
                </c:pt>
                <c:pt idx="18">
                  <c:v>0.11899572610855103</c:v>
                </c:pt>
                <c:pt idx="19">
                  <c:v>0.11396872997283936</c:v>
                </c:pt>
                <c:pt idx="20">
                  <c:v>6.2334474176168442E-2</c:v>
                </c:pt>
                <c:pt idx="21">
                  <c:v>2.6836758479475975E-2</c:v>
                </c:pt>
                <c:pt idx="22">
                  <c:v>-1.6996515914797783E-3</c:v>
                </c:pt>
                <c:pt idx="23">
                  <c:v>4.10426314920187E-3</c:v>
                </c:pt>
              </c:numCache>
            </c:numRef>
          </c:val>
          <c:smooth val="0"/>
        </c:ser>
        <c:ser>
          <c:idx val="14"/>
          <c:order val="14"/>
          <c:tx>
            <c:strRef>
              <c:f>'LIs Level'!$C$16</c:f>
              <c:strCache>
                <c:ptCount val="1"/>
                <c:pt idx="0">
                  <c:v>cdh60 lagcdd60</c:v>
                </c:pt>
              </c:strCache>
            </c:strRef>
          </c:tx>
          <c:spPr>
            <a:ln w="28575" cap="rnd">
              <a:solidFill>
                <a:schemeClr val="accent3">
                  <a:lumMod val="80000"/>
                  <a:lumOff val="2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Level'!$D$16:$AA$16</c:f>
              <c:numCache>
                <c:formatCode>0.00</c:formatCode>
                <c:ptCount val="24"/>
                <c:pt idx="0">
                  <c:v>1.9565263763070107E-2</c:v>
                </c:pt>
                <c:pt idx="1">
                  <c:v>1.0108847171068192E-2</c:v>
                </c:pt>
                <c:pt idx="2">
                  <c:v>-5.4633989930152893E-4</c:v>
                </c:pt>
                <c:pt idx="3">
                  <c:v>1.2216180330142379E-3</c:v>
                </c:pt>
                <c:pt idx="4">
                  <c:v>-2.2144161630421877E-3</c:v>
                </c:pt>
                <c:pt idx="5">
                  <c:v>-1.4826854458078742E-3</c:v>
                </c:pt>
                <c:pt idx="6">
                  <c:v>3.2846140675246716E-3</c:v>
                </c:pt>
                <c:pt idx="7">
                  <c:v>-2.4314520123880357E-4</c:v>
                </c:pt>
                <c:pt idx="8">
                  <c:v>1.1481659021228552E-3</c:v>
                </c:pt>
                <c:pt idx="9">
                  <c:v>1.6399869928136468E-3</c:v>
                </c:pt>
                <c:pt idx="10">
                  <c:v>-1.9337498815730214E-4</c:v>
                </c:pt>
                <c:pt idx="11">
                  <c:v>3.1306523829698563E-2</c:v>
                </c:pt>
                <c:pt idx="12">
                  <c:v>0.13302691280841827</c:v>
                </c:pt>
                <c:pt idx="13">
                  <c:v>0.15117183327674866</c:v>
                </c:pt>
                <c:pt idx="14">
                  <c:v>0.16531713306903839</c:v>
                </c:pt>
                <c:pt idx="15">
                  <c:v>0.1873820573091507</c:v>
                </c:pt>
                <c:pt idx="16">
                  <c:v>0.16695423424243927</c:v>
                </c:pt>
                <c:pt idx="17">
                  <c:v>0.133907750248909</c:v>
                </c:pt>
                <c:pt idx="18">
                  <c:v>0.11761952191591263</c:v>
                </c:pt>
                <c:pt idx="19">
                  <c:v>0.11167656630277634</c:v>
                </c:pt>
                <c:pt idx="20">
                  <c:v>6.0253925621509552E-2</c:v>
                </c:pt>
                <c:pt idx="21">
                  <c:v>2.4687072262167931E-2</c:v>
                </c:pt>
                <c:pt idx="22">
                  <c:v>6.4745038980618119E-4</c:v>
                </c:pt>
                <c:pt idx="23">
                  <c:v>2.7989970985800028E-3</c:v>
                </c:pt>
              </c:numCache>
            </c:numRef>
          </c:val>
          <c:smooth val="0"/>
        </c:ser>
        <c:ser>
          <c:idx val="15"/>
          <c:order val="15"/>
          <c:tx>
            <c:strRef>
              <c:f>'LIs Level'!$C$17</c:f>
              <c:strCache>
                <c:ptCount val="1"/>
                <c:pt idx="0">
                  <c:v>cdh65 lagcdd60</c:v>
                </c:pt>
              </c:strCache>
            </c:strRef>
          </c:tx>
          <c:spPr>
            <a:ln w="28575" cap="rnd">
              <a:solidFill>
                <a:schemeClr val="accent4">
                  <a:lumMod val="80000"/>
                  <a:lumOff val="2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Level'!$D$17:$AA$17</c:f>
              <c:numCache>
                <c:formatCode>0.00</c:formatCode>
                <c:ptCount val="24"/>
                <c:pt idx="0">
                  <c:v>1.9277045503258705E-2</c:v>
                </c:pt>
                <c:pt idx="1">
                  <c:v>1.0034480132162571E-2</c:v>
                </c:pt>
                <c:pt idx="2">
                  <c:v>-4.4513784814625978E-4</c:v>
                </c:pt>
                <c:pt idx="3">
                  <c:v>2.0313647110015154E-3</c:v>
                </c:pt>
                <c:pt idx="4">
                  <c:v>-1.5026082983240485E-3</c:v>
                </c:pt>
                <c:pt idx="5">
                  <c:v>-4.9202708760276437E-4</c:v>
                </c:pt>
                <c:pt idx="6">
                  <c:v>3.2610425259917974E-3</c:v>
                </c:pt>
                <c:pt idx="7">
                  <c:v>-3.1940676853992045E-4</c:v>
                </c:pt>
                <c:pt idx="8">
                  <c:v>1.0533315362408757E-3</c:v>
                </c:pt>
                <c:pt idx="9">
                  <c:v>1.7272230470553041E-3</c:v>
                </c:pt>
                <c:pt idx="10">
                  <c:v>-1.5859672566875815E-4</c:v>
                </c:pt>
                <c:pt idx="11">
                  <c:v>3.1218407675623894E-2</c:v>
                </c:pt>
                <c:pt idx="12">
                  <c:v>0.13288569450378418</c:v>
                </c:pt>
                <c:pt idx="13">
                  <c:v>0.15102730691432953</c:v>
                </c:pt>
                <c:pt idx="14">
                  <c:v>0.16516955196857452</c:v>
                </c:pt>
                <c:pt idx="15">
                  <c:v>0.18723267316818237</c:v>
                </c:pt>
                <c:pt idx="16">
                  <c:v>0.16680651903152466</c:v>
                </c:pt>
                <c:pt idx="17">
                  <c:v>0.13374555110931396</c:v>
                </c:pt>
                <c:pt idx="18">
                  <c:v>0.11705078929662704</c:v>
                </c:pt>
                <c:pt idx="19">
                  <c:v>0.10974939167499542</c:v>
                </c:pt>
                <c:pt idx="20">
                  <c:v>5.7179320603609085E-2</c:v>
                </c:pt>
                <c:pt idx="21">
                  <c:v>2.0519543439149857E-2</c:v>
                </c:pt>
                <c:pt idx="22">
                  <c:v>-3.7994883023202419E-3</c:v>
                </c:pt>
                <c:pt idx="23">
                  <c:v>-2.0233083050698042E-3</c:v>
                </c:pt>
              </c:numCache>
            </c:numRef>
          </c:val>
          <c:smooth val="0"/>
        </c:ser>
        <c:ser>
          <c:idx val="16"/>
          <c:order val="16"/>
          <c:tx>
            <c:strRef>
              <c:f>'LIs Level'!$C$18</c:f>
              <c:strCache>
                <c:ptCount val="1"/>
                <c:pt idx="0">
                  <c:v>cdh60_3ma lagcdd60</c:v>
                </c:pt>
              </c:strCache>
            </c:strRef>
          </c:tx>
          <c:spPr>
            <a:ln w="28575" cap="rnd">
              <a:solidFill>
                <a:schemeClr val="accent5">
                  <a:lumMod val="80000"/>
                  <a:lumOff val="2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Level'!$D$18:$AA$18</c:f>
              <c:numCache>
                <c:formatCode>0.00</c:formatCode>
                <c:ptCount val="24"/>
                <c:pt idx="0">
                  <c:v>1.9399132579565048E-2</c:v>
                </c:pt>
                <c:pt idx="1">
                  <c:v>9.9891694262623787E-3</c:v>
                </c:pt>
                <c:pt idx="2">
                  <c:v>-3.8236554246395826E-4</c:v>
                </c:pt>
                <c:pt idx="3">
                  <c:v>1.9739307463169098E-3</c:v>
                </c:pt>
                <c:pt idx="4">
                  <c:v>-1.732713426463306E-3</c:v>
                </c:pt>
                <c:pt idx="5">
                  <c:v>-1.2817465467378497E-3</c:v>
                </c:pt>
                <c:pt idx="6">
                  <c:v>3.2906369306147099E-3</c:v>
                </c:pt>
                <c:pt idx="7">
                  <c:v>-3.8588739698752761E-4</c:v>
                </c:pt>
                <c:pt idx="8">
                  <c:v>1.4005886623635888E-3</c:v>
                </c:pt>
                <c:pt idx="9">
                  <c:v>1.6172678442671895E-3</c:v>
                </c:pt>
                <c:pt idx="10">
                  <c:v>-5.8346556033939123E-4</c:v>
                </c:pt>
                <c:pt idx="11">
                  <c:v>3.0397307127714157E-2</c:v>
                </c:pt>
                <c:pt idx="12">
                  <c:v>0.13199402391910553</c:v>
                </c:pt>
                <c:pt idx="13">
                  <c:v>0.14924825727939606</c:v>
                </c:pt>
                <c:pt idx="14">
                  <c:v>0.16360299289226532</c:v>
                </c:pt>
                <c:pt idx="15">
                  <c:v>0.18574410676956177</c:v>
                </c:pt>
                <c:pt idx="16">
                  <c:v>0.16615545749664307</c:v>
                </c:pt>
                <c:pt idx="17">
                  <c:v>0.13364867866039276</c:v>
                </c:pt>
                <c:pt idx="18">
                  <c:v>0.11819344013929367</c:v>
                </c:pt>
                <c:pt idx="19">
                  <c:v>0.1123364046216011</c:v>
                </c:pt>
                <c:pt idx="20">
                  <c:v>6.1636291444301605E-2</c:v>
                </c:pt>
                <c:pt idx="21">
                  <c:v>2.676905132830143E-2</c:v>
                </c:pt>
                <c:pt idx="22">
                  <c:v>1.819540630094707E-3</c:v>
                </c:pt>
                <c:pt idx="23">
                  <c:v>1.9763787277042866E-3</c:v>
                </c:pt>
              </c:numCache>
            </c:numRef>
          </c:val>
          <c:smooth val="0"/>
        </c:ser>
        <c:ser>
          <c:idx val="17"/>
          <c:order val="17"/>
          <c:tx>
            <c:strRef>
              <c:f>'LIs Level'!$C$19</c:f>
              <c:strCache>
                <c:ptCount val="1"/>
                <c:pt idx="0">
                  <c:v>cdh65_3ma lagcdd60</c:v>
                </c:pt>
              </c:strCache>
            </c:strRef>
          </c:tx>
          <c:spPr>
            <a:ln w="28575" cap="rnd">
              <a:solidFill>
                <a:schemeClr val="accent6">
                  <a:lumMod val="80000"/>
                  <a:lumOff val="2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Level'!$D$19:$AA$19</c:f>
              <c:numCache>
                <c:formatCode>0.00</c:formatCode>
                <c:ptCount val="24"/>
                <c:pt idx="0">
                  <c:v>1.9088955596089363E-2</c:v>
                </c:pt>
                <c:pt idx="1">
                  <c:v>9.9157104268670082E-3</c:v>
                </c:pt>
                <c:pt idx="2">
                  <c:v>-5.2565289661288261E-4</c:v>
                </c:pt>
                <c:pt idx="3">
                  <c:v>1.9082973012700677E-3</c:v>
                </c:pt>
                <c:pt idx="4">
                  <c:v>-1.8057390116155148E-3</c:v>
                </c:pt>
                <c:pt idx="5">
                  <c:v>-1.3589190784841776E-3</c:v>
                </c:pt>
                <c:pt idx="6">
                  <c:v>3.1798782292753458E-3</c:v>
                </c:pt>
                <c:pt idx="7">
                  <c:v>-5.2202603546902537E-4</c:v>
                </c:pt>
                <c:pt idx="8">
                  <c:v>1.1696296278387308E-3</c:v>
                </c:pt>
                <c:pt idx="9">
                  <c:v>1.5169164398685098E-3</c:v>
                </c:pt>
                <c:pt idx="10">
                  <c:v>-4.191006300970912E-4</c:v>
                </c:pt>
                <c:pt idx="11">
                  <c:v>3.0504502356052399E-2</c:v>
                </c:pt>
                <c:pt idx="12">
                  <c:v>0.1319626122713089</c:v>
                </c:pt>
                <c:pt idx="13">
                  <c:v>0.14914467930793762</c:v>
                </c:pt>
                <c:pt idx="14">
                  <c:v>0.16344726085662842</c:v>
                </c:pt>
                <c:pt idx="15">
                  <c:v>0.1855921596288681</c:v>
                </c:pt>
                <c:pt idx="16">
                  <c:v>0.16600301861763</c:v>
                </c:pt>
                <c:pt idx="17">
                  <c:v>0.13349859416484833</c:v>
                </c:pt>
                <c:pt idx="18">
                  <c:v>0.11803366243839264</c:v>
                </c:pt>
                <c:pt idx="19">
                  <c:v>0.11204069852828979</c:v>
                </c:pt>
                <c:pt idx="20">
                  <c:v>6.0866273939609528E-2</c:v>
                </c:pt>
                <c:pt idx="21">
                  <c:v>2.4975992739200592E-2</c:v>
                </c:pt>
                <c:pt idx="22">
                  <c:v>-5.6829239474609494E-4</c:v>
                </c:pt>
                <c:pt idx="23">
                  <c:v>-1.5956552233546972E-3</c:v>
                </c:pt>
              </c:numCache>
            </c:numRef>
          </c:val>
          <c:smooth val="0"/>
        </c:ser>
        <c:ser>
          <c:idx val="18"/>
          <c:order val="18"/>
          <c:tx>
            <c:strRef>
              <c:f>'LIs Level'!$C$20</c:f>
              <c:strCache>
                <c:ptCount val="1"/>
                <c:pt idx="0">
                  <c:v>mean17</c:v>
                </c:pt>
              </c:strCache>
            </c:strRef>
          </c:tx>
          <c:spPr>
            <a:ln w="28575" cap="rnd">
              <a:solidFill>
                <a:schemeClr val="accent1">
                  <a:lumMod val="8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Level'!$D$20:$AA$20</c:f>
              <c:numCache>
                <c:formatCode>0.00</c:formatCode>
                <c:ptCount val="24"/>
                <c:pt idx="0">
                  <c:v>1.8434511497616768E-2</c:v>
                </c:pt>
                <c:pt idx="1">
                  <c:v>9.4137312844395638E-3</c:v>
                </c:pt>
                <c:pt idx="2">
                  <c:v>-2.6428489945828915E-4</c:v>
                </c:pt>
                <c:pt idx="3">
                  <c:v>9.9374423734843731E-4</c:v>
                </c:pt>
                <c:pt idx="4">
                  <c:v>-9.146646480076015E-4</c:v>
                </c:pt>
                <c:pt idx="5">
                  <c:v>3.8723359466530383E-4</c:v>
                </c:pt>
                <c:pt idx="6">
                  <c:v>3.3629657700657845E-3</c:v>
                </c:pt>
                <c:pt idx="7">
                  <c:v>9.7867706790566444E-4</c:v>
                </c:pt>
                <c:pt idx="8">
                  <c:v>1.6548659186810255E-3</c:v>
                </c:pt>
                <c:pt idx="9">
                  <c:v>2.221741946414113E-3</c:v>
                </c:pt>
                <c:pt idx="10">
                  <c:v>-1.0237238711852115E-5</c:v>
                </c:pt>
                <c:pt idx="11">
                  <c:v>3.2294526696205139E-2</c:v>
                </c:pt>
                <c:pt idx="12">
                  <c:v>0.13295724987983704</c:v>
                </c:pt>
                <c:pt idx="13">
                  <c:v>0.14951398968696594</c:v>
                </c:pt>
                <c:pt idx="14">
                  <c:v>0.16340735554695129</c:v>
                </c:pt>
                <c:pt idx="15">
                  <c:v>0.1852000504732132</c:v>
                </c:pt>
                <c:pt idx="16">
                  <c:v>0.16369299590587616</c:v>
                </c:pt>
                <c:pt idx="17">
                  <c:v>0.12828300893306732</c:v>
                </c:pt>
                <c:pt idx="18">
                  <c:v>0.11263822764158249</c:v>
                </c:pt>
                <c:pt idx="19">
                  <c:v>0.10837490111589432</c:v>
                </c:pt>
                <c:pt idx="20">
                  <c:v>5.8143768459558487E-2</c:v>
                </c:pt>
                <c:pt idx="21">
                  <c:v>2.4703167378902435E-2</c:v>
                </c:pt>
                <c:pt idx="22">
                  <c:v>1.4047216391190886E-3</c:v>
                </c:pt>
                <c:pt idx="23">
                  <c:v>1.0081249056383967E-3</c:v>
                </c:pt>
              </c:numCache>
            </c:numRef>
          </c:val>
          <c:smooth val="0"/>
        </c:ser>
        <c:ser>
          <c:idx val="19"/>
          <c:order val="19"/>
          <c:tx>
            <c:strRef>
              <c:f>'LIs Level'!$C$21</c:f>
              <c:strCache>
                <c:ptCount val="1"/>
                <c:pt idx="0">
                  <c:v>cdh60 mean17</c:v>
                </c:pt>
              </c:strCache>
            </c:strRef>
          </c:tx>
          <c:spPr>
            <a:ln w="28575" cap="rnd">
              <a:solidFill>
                <a:schemeClr val="accent2">
                  <a:lumMod val="8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Level'!$D$21:$AA$21</c:f>
              <c:numCache>
                <c:formatCode>0.00</c:formatCode>
                <c:ptCount val="24"/>
                <c:pt idx="0">
                  <c:v>1.871577650308609E-2</c:v>
                </c:pt>
                <c:pt idx="1">
                  <c:v>9.7781689837574959E-3</c:v>
                </c:pt>
                <c:pt idx="2">
                  <c:v>-3.1123211374506354E-4</c:v>
                </c:pt>
                <c:pt idx="3">
                  <c:v>5.5749388411641121E-4</c:v>
                </c:pt>
                <c:pt idx="4">
                  <c:v>-1.606077654287219E-3</c:v>
                </c:pt>
                <c:pt idx="5">
                  <c:v>-3.3390970202162862E-4</c:v>
                </c:pt>
                <c:pt idx="6">
                  <c:v>3.6182086914777756E-3</c:v>
                </c:pt>
                <c:pt idx="7">
                  <c:v>1.3028256362304091E-3</c:v>
                </c:pt>
                <c:pt idx="8">
                  <c:v>5.0079415086656809E-4</c:v>
                </c:pt>
                <c:pt idx="9">
                  <c:v>-1.4220528537407517E-3</c:v>
                </c:pt>
                <c:pt idx="10">
                  <c:v>-2.4284529499709606E-3</c:v>
                </c:pt>
                <c:pt idx="11">
                  <c:v>3.2180864363908768E-2</c:v>
                </c:pt>
                <c:pt idx="12">
                  <c:v>0.13438619673252106</c:v>
                </c:pt>
                <c:pt idx="13">
                  <c:v>0.14970503747463226</c:v>
                </c:pt>
                <c:pt idx="14">
                  <c:v>0.16331718862056732</c:v>
                </c:pt>
                <c:pt idx="15">
                  <c:v>0.18566808104515076</c:v>
                </c:pt>
                <c:pt idx="16">
                  <c:v>0.16504119336605072</c:v>
                </c:pt>
                <c:pt idx="17">
                  <c:v>0.12953133881092072</c:v>
                </c:pt>
                <c:pt idx="18">
                  <c:v>0.11252301186323166</c:v>
                </c:pt>
                <c:pt idx="19">
                  <c:v>0.10745493322610855</c:v>
                </c:pt>
                <c:pt idx="20">
                  <c:v>5.3957324475049973E-2</c:v>
                </c:pt>
                <c:pt idx="21">
                  <c:v>1.8128717318177223E-2</c:v>
                </c:pt>
                <c:pt idx="22">
                  <c:v>-6.2640206888318062E-3</c:v>
                </c:pt>
                <c:pt idx="23">
                  <c:v>-4.2873229831457138E-3</c:v>
                </c:pt>
              </c:numCache>
            </c:numRef>
          </c:val>
          <c:smooth val="0"/>
        </c:ser>
        <c:ser>
          <c:idx val="20"/>
          <c:order val="20"/>
          <c:tx>
            <c:strRef>
              <c:f>'LIs Level'!$C$22</c:f>
              <c:strCache>
                <c:ptCount val="1"/>
                <c:pt idx="0">
                  <c:v>cdh65 mean17</c:v>
                </c:pt>
              </c:strCache>
            </c:strRef>
          </c:tx>
          <c:spPr>
            <a:ln w="28575" cap="rnd">
              <a:solidFill>
                <a:schemeClr val="accent3">
                  <a:lumMod val="80000"/>
                </a:schemeClr>
              </a:solidFill>
              <a:round/>
            </a:ln>
            <a:effectLst/>
          </c:spPr>
          <c:marker>
            <c:symbol val="none"/>
          </c:marker>
          <c:cat>
            <c:numRef>
              <c:f>'LIs Level'!$D$1:$AA$1</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'LIs Level'!$D$22:$AA$22</c:f>
              <c:numCache>
                <c:formatCode>0.00</c:formatCode>
                <c:ptCount val="24"/>
                <c:pt idx="0">
                  <c:v>1.8294967710971832E-2</c:v>
                </c:pt>
                <c:pt idx="1">
                  <c:v>9.3355309218168259E-3</c:v>
                </c:pt>
                <c:pt idx="2">
                  <c:v>-3.8934909389354289E-4</c:v>
                </c:pt>
                <c:pt idx="3">
                  <c:v>8.0501195043325424E-4</c:v>
                </c:pt>
                <c:pt idx="4">
                  <c:v>-1.1176250409334898E-3</c:v>
                </c:pt>
                <c:pt idx="5">
                  <c:v>6.2561762752011418E-4</c:v>
                </c:pt>
                <c:pt idx="6">
                  <c:v>3.2762691844254732E-3</c:v>
                </c:pt>
                <c:pt idx="7">
                  <c:v>8.6116429883986712E-4</c:v>
                </c:pt>
                <c:pt idx="8">
                  <c:v>9.4835169147700071E-4</c:v>
                </c:pt>
                <c:pt idx="9">
                  <c:v>6.6082720877602696E-4</c:v>
                </c:pt>
                <c:pt idx="10">
                  <c:v>-1.9850435201078653E-3</c:v>
                </c:pt>
                <c:pt idx="11">
                  <c:v>3.2030072063207626E-2</c:v>
                </c:pt>
                <c:pt idx="12">
                  <c:v>0.1341060996055603</c:v>
                </c:pt>
                <c:pt idx="13">
                  <c:v>0.14937247335910797</c:v>
                </c:pt>
                <c:pt idx="14">
                  <c:v>0.16297979652881622</c:v>
                </c:pt>
                <c:pt idx="15">
                  <c:v>0.18532383441925049</c:v>
                </c:pt>
                <c:pt idx="16">
                  <c:v>0.16469407081604004</c:v>
                </c:pt>
                <c:pt idx="17">
                  <c:v>0.12913383543491364</c:v>
                </c:pt>
                <c:pt idx="18">
                  <c:v>0.11148087680339813</c:v>
                </c:pt>
                <c:pt idx="19">
                  <c:v>0.10436055809259415</c:v>
                </c:pt>
                <c:pt idx="20">
                  <c:v>4.8784654587507248E-2</c:v>
                </c:pt>
                <c:pt idx="21">
                  <c:v>1.2463169172406197E-2</c:v>
                </c:pt>
                <c:pt idx="22">
                  <c:v>-1.1289686895906925E-2</c:v>
                </c:pt>
                <c:pt idx="23">
                  <c:v>-9.1911889612674713E-3</c:v>
                </c:pt>
              </c:numCache>
            </c:numRef>
          </c:val>
          <c:smooth val="0"/>
        </c:ser>
        <c:dLbls>
          <c:showLegendKey val="0"/>
          <c:showVal val="0"/>
          <c:showCatName val="0"/>
          <c:showSerName val="0"/>
          <c:showPercent val="0"/>
          <c:showBubbleSize val="0"/>
        </c:dLbls>
        <c:smooth val="0"/>
        <c:axId val="304910608"/>
        <c:axId val="304914528"/>
      </c:lineChart>
      <c:catAx>
        <c:axId val="30491060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4914528"/>
        <c:crosses val="autoZero"/>
        <c:auto val="1"/>
        <c:lblAlgn val="ctr"/>
        <c:lblOffset val="100"/>
        <c:noMultiLvlLbl val="0"/>
      </c:catAx>
      <c:valAx>
        <c:axId val="3049145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Average per Customer</a:t>
                </a:r>
                <a:r>
                  <a:rPr lang="en-US" sz="1200" baseline="0"/>
                  <a:t> Load Impact (MW)</a:t>
                </a:r>
                <a:endParaRPr lang="en-US" sz="1200"/>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49106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 Level'!$C$2</c:f>
              <c:strCache>
                <c:ptCount val="1"/>
                <c:pt idx="0">
                  <c:v>thi</c:v>
                </c:pt>
              </c:strCache>
            </c:strRef>
          </c:tx>
          <c:spPr>
            <a:ln w="28575" cap="rnd">
              <a:solidFill>
                <a:schemeClr val="accent1"/>
              </a:solidFill>
              <a:round/>
            </a:ln>
            <a:effectLst/>
          </c:spPr>
          <c:marker>
            <c:symbol val="none"/>
          </c:marker>
          <c:val>
            <c:numRef>
              <c:f>'LIs Level'!$D$2:$AA$2</c:f>
              <c:numCache>
                <c:formatCode>0.00</c:formatCode>
                <c:ptCount val="24"/>
                <c:pt idx="0">
                  <c:v>4.5878142118453979E-2</c:v>
                </c:pt>
                <c:pt idx="1">
                  <c:v>4.3432179838418961E-2</c:v>
                </c:pt>
                <c:pt idx="2">
                  <c:v>3.4113820642232895E-2</c:v>
                </c:pt>
                <c:pt idx="3">
                  <c:v>-1.3028238900005817E-2</c:v>
                </c:pt>
                <c:pt idx="4">
                  <c:v>-3.8468223065137863E-2</c:v>
                </c:pt>
                <c:pt idx="5">
                  <c:v>-3.7750948220491409E-2</c:v>
                </c:pt>
                <c:pt idx="6">
                  <c:v>-2.1961884573101997E-2</c:v>
                </c:pt>
                <c:pt idx="7">
                  <c:v>8.0591579899191856E-3</c:v>
                </c:pt>
                <c:pt idx="8">
                  <c:v>1.8830427434295416E-3</c:v>
                </c:pt>
                <c:pt idx="9">
                  <c:v>6.4918389543890953E-3</c:v>
                </c:pt>
                <c:pt idx="10">
                  <c:v>2.330428920686245E-2</c:v>
                </c:pt>
                <c:pt idx="11">
                  <c:v>0.11602328717708588</c:v>
                </c:pt>
                <c:pt idx="12">
                  <c:v>0.20549273490905762</c:v>
                </c:pt>
                <c:pt idx="13">
                  <c:v>0.21073201298713684</c:v>
                </c:pt>
                <c:pt idx="14">
                  <c:v>0.19931499660015106</c:v>
                </c:pt>
                <c:pt idx="15">
                  <c:v>0.21247194707393646</c:v>
                </c:pt>
                <c:pt idx="16">
                  <c:v>0.22053104639053345</c:v>
                </c:pt>
                <c:pt idx="17">
                  <c:v>0.22767311334609985</c:v>
                </c:pt>
                <c:pt idx="18">
                  <c:v>0.22592313587665558</c:v>
                </c:pt>
                <c:pt idx="19">
                  <c:v>0.20249864459037781</c:v>
                </c:pt>
                <c:pt idx="20">
                  <c:v>0.1070745587348938</c:v>
                </c:pt>
                <c:pt idx="21">
                  <c:v>7.3731519281864166E-2</c:v>
                </c:pt>
                <c:pt idx="22">
                  <c:v>7.1458473801612854E-2</c:v>
                </c:pt>
                <c:pt idx="23">
                  <c:v>3.701477125287056E-2</c:v>
                </c:pt>
              </c:numCache>
            </c:numRef>
          </c:val>
          <c:smooth val="0"/>
        </c:ser>
        <c:ser>
          <c:idx val="1"/>
          <c:order val="1"/>
          <c:tx>
            <c:strRef>
              <c:f>'LIs Level'!$C$3</c:f>
              <c:strCache>
                <c:ptCount val="1"/>
                <c:pt idx="0">
                  <c:v>hi</c:v>
                </c:pt>
              </c:strCache>
            </c:strRef>
          </c:tx>
          <c:spPr>
            <a:ln w="28575" cap="rnd">
              <a:solidFill>
                <a:schemeClr val="accent2"/>
              </a:solidFill>
              <a:round/>
            </a:ln>
            <a:effectLst/>
          </c:spPr>
          <c:marker>
            <c:symbol val="none"/>
          </c:marker>
          <c:val>
            <c:numRef>
              <c:f>'LIs Level'!$D$3:$AA$3</c:f>
              <c:numCache>
                <c:formatCode>0.00</c:formatCode>
                <c:ptCount val="24"/>
                <c:pt idx="0">
                  <c:v>4.5999612659215927E-2</c:v>
                </c:pt>
                <c:pt idx="1">
                  <c:v>4.3955609202384949E-2</c:v>
                </c:pt>
                <c:pt idx="2">
                  <c:v>3.5048414021730423E-2</c:v>
                </c:pt>
                <c:pt idx="3">
                  <c:v>-1.0788759216666222E-2</c:v>
                </c:pt>
                <c:pt idx="4">
                  <c:v>-3.9589487016201019E-2</c:v>
                </c:pt>
                <c:pt idx="5">
                  <c:v>-3.8451652973890305E-2</c:v>
                </c:pt>
                <c:pt idx="6">
                  <c:v>-2.339879609644413E-2</c:v>
                </c:pt>
                <c:pt idx="7">
                  <c:v>5.7569900527596474E-3</c:v>
                </c:pt>
                <c:pt idx="8">
                  <c:v>7.249619229696691E-4</c:v>
                </c:pt>
                <c:pt idx="9">
                  <c:v>6.9945566356182098E-3</c:v>
                </c:pt>
                <c:pt idx="10">
                  <c:v>2.3687608540058136E-2</c:v>
                </c:pt>
                <c:pt idx="11">
                  <c:v>0.11576247960329056</c:v>
                </c:pt>
                <c:pt idx="12">
                  <c:v>0.20574325323104858</c:v>
                </c:pt>
                <c:pt idx="13">
                  <c:v>0.21088485419750214</c:v>
                </c:pt>
                <c:pt idx="14">
                  <c:v>0.19997057318687439</c:v>
                </c:pt>
                <c:pt idx="15">
                  <c:v>0.21286983788013458</c:v>
                </c:pt>
                <c:pt idx="16">
                  <c:v>0.220388263463974</c:v>
                </c:pt>
                <c:pt idx="17">
                  <c:v>0.22706657648086548</c:v>
                </c:pt>
                <c:pt idx="18">
                  <c:v>0.22461983561515808</c:v>
                </c:pt>
                <c:pt idx="19">
                  <c:v>0.20023791491985321</c:v>
                </c:pt>
                <c:pt idx="20">
                  <c:v>0.10425017029047012</c:v>
                </c:pt>
                <c:pt idx="21">
                  <c:v>7.2472982108592987E-2</c:v>
                </c:pt>
                <c:pt idx="22">
                  <c:v>7.0143170654773712E-2</c:v>
                </c:pt>
                <c:pt idx="23">
                  <c:v>3.7227652966976166E-2</c:v>
                </c:pt>
              </c:numCache>
            </c:numRef>
          </c:val>
          <c:smooth val="0"/>
        </c:ser>
        <c:ser>
          <c:idx val="2"/>
          <c:order val="2"/>
          <c:tx>
            <c:strRef>
              <c:f>'LIs Level'!$C$4</c:f>
              <c:strCache>
                <c:ptCount val="1"/>
                <c:pt idx="0">
                  <c:v>cdh60</c:v>
                </c:pt>
              </c:strCache>
            </c:strRef>
          </c:tx>
          <c:spPr>
            <a:ln w="28575" cap="rnd">
              <a:solidFill>
                <a:schemeClr val="accent3"/>
              </a:solidFill>
              <a:round/>
            </a:ln>
            <a:effectLst/>
          </c:spPr>
          <c:marker>
            <c:symbol val="none"/>
          </c:marker>
          <c:val>
            <c:numRef>
              <c:f>'LIs Level'!$D$4:$AA$4</c:f>
              <c:numCache>
                <c:formatCode>0.00</c:formatCode>
                <c:ptCount val="24"/>
                <c:pt idx="0">
                  <c:v>4.4003009796142578E-2</c:v>
                </c:pt>
                <c:pt idx="1">
                  <c:v>4.1907131671905518E-2</c:v>
                </c:pt>
                <c:pt idx="2">
                  <c:v>3.3546771854162216E-2</c:v>
                </c:pt>
                <c:pt idx="3">
                  <c:v>-1.3129323720932007E-2</c:v>
                </c:pt>
                <c:pt idx="4">
                  <c:v>-3.9890386164188385E-2</c:v>
                </c:pt>
                <c:pt idx="5">
                  <c:v>-3.9790909737348557E-2</c:v>
                </c:pt>
                <c:pt idx="6">
                  <c:v>-2.308177761733532E-2</c:v>
                </c:pt>
                <c:pt idx="7">
                  <c:v>6.9573335349559784E-3</c:v>
                </c:pt>
                <c:pt idx="8">
                  <c:v>2.646929060574621E-4</c:v>
                </c:pt>
                <c:pt idx="9">
                  <c:v>4.1411789134144783E-3</c:v>
                </c:pt>
                <c:pt idx="10">
                  <c:v>2.1373337134718895E-2</c:v>
                </c:pt>
                <c:pt idx="11">
                  <c:v>0.11361084133386612</c:v>
                </c:pt>
                <c:pt idx="12">
                  <c:v>0.2025415450334549</c:v>
                </c:pt>
                <c:pt idx="13">
                  <c:v>0.20762459933757782</c:v>
                </c:pt>
                <c:pt idx="14">
                  <c:v>0.19782032072544098</c:v>
                </c:pt>
                <c:pt idx="15">
                  <c:v>0.2113710343837738</c:v>
                </c:pt>
                <c:pt idx="16">
                  <c:v>0.21925632655620575</c:v>
                </c:pt>
                <c:pt idx="17">
                  <c:v>0.22561530768871307</c:v>
                </c:pt>
                <c:pt idx="18">
                  <c:v>0.2244839072227478</c:v>
                </c:pt>
                <c:pt idx="19">
                  <c:v>0.20076264441013336</c:v>
                </c:pt>
                <c:pt idx="20">
                  <c:v>0.10514767467975616</c:v>
                </c:pt>
                <c:pt idx="21">
                  <c:v>7.2397902607917786E-2</c:v>
                </c:pt>
                <c:pt idx="22">
                  <c:v>7.0266395807266235E-2</c:v>
                </c:pt>
                <c:pt idx="23">
                  <c:v>3.7775285542011261E-2</c:v>
                </c:pt>
              </c:numCache>
            </c:numRef>
          </c:val>
          <c:smooth val="0"/>
        </c:ser>
        <c:ser>
          <c:idx val="3"/>
          <c:order val="3"/>
          <c:tx>
            <c:strRef>
              <c:f>'LIs Level'!$C$5</c:f>
              <c:strCache>
                <c:ptCount val="1"/>
                <c:pt idx="0">
                  <c:v>cdh65</c:v>
                </c:pt>
              </c:strCache>
            </c:strRef>
          </c:tx>
          <c:spPr>
            <a:ln w="28575" cap="rnd">
              <a:solidFill>
                <a:schemeClr val="accent4"/>
              </a:solidFill>
              <a:round/>
            </a:ln>
            <a:effectLst/>
          </c:spPr>
          <c:marker>
            <c:symbol val="none"/>
          </c:marker>
          <c:val>
            <c:numRef>
              <c:f>'LIs Level'!$D$5:$AA$5</c:f>
              <c:numCache>
                <c:formatCode>0.00</c:formatCode>
                <c:ptCount val="24"/>
                <c:pt idx="0">
                  <c:v>4.3313153088092804E-2</c:v>
                </c:pt>
                <c:pt idx="1">
                  <c:v>4.2427070438861847E-2</c:v>
                </c:pt>
                <c:pt idx="2">
                  <c:v>3.5430390387773514E-2</c:v>
                </c:pt>
                <c:pt idx="3">
                  <c:v>-1.0774370282888412E-2</c:v>
                </c:pt>
                <c:pt idx="4">
                  <c:v>-4.1160162538290024E-2</c:v>
                </c:pt>
                <c:pt idx="5">
                  <c:v>-4.3475531041622162E-2</c:v>
                </c:pt>
                <c:pt idx="6">
                  <c:v>-2.3960210382938385E-2</c:v>
                </c:pt>
                <c:pt idx="7">
                  <c:v>7.2441291995346546E-3</c:v>
                </c:pt>
                <c:pt idx="8">
                  <c:v>6.510926759801805E-4</c:v>
                </c:pt>
                <c:pt idx="9">
                  <c:v>4.3523237109184265E-3</c:v>
                </c:pt>
                <c:pt idx="10">
                  <c:v>2.1487131714820862E-2</c:v>
                </c:pt>
                <c:pt idx="11">
                  <c:v>0.11374868452548981</c:v>
                </c:pt>
                <c:pt idx="12">
                  <c:v>0.20269429683685303</c:v>
                </c:pt>
                <c:pt idx="13">
                  <c:v>0.20780572295188904</c:v>
                </c:pt>
                <c:pt idx="14">
                  <c:v>0.19804106652736664</c:v>
                </c:pt>
                <c:pt idx="15">
                  <c:v>0.21163153648376465</c:v>
                </c:pt>
                <c:pt idx="16">
                  <c:v>0.2194659411907196</c:v>
                </c:pt>
                <c:pt idx="17">
                  <c:v>0.22580574452877045</c:v>
                </c:pt>
                <c:pt idx="18">
                  <c:v>0.22461605072021484</c:v>
                </c:pt>
                <c:pt idx="19">
                  <c:v>0.20123259723186493</c:v>
                </c:pt>
                <c:pt idx="20">
                  <c:v>0.10556206107139587</c:v>
                </c:pt>
                <c:pt idx="21">
                  <c:v>7.3563896119594574E-2</c:v>
                </c:pt>
                <c:pt idx="22">
                  <c:v>7.1727767586708069E-2</c:v>
                </c:pt>
                <c:pt idx="23">
                  <c:v>3.8034100085496902E-2</c:v>
                </c:pt>
              </c:numCache>
            </c:numRef>
          </c:val>
          <c:smooth val="0"/>
        </c:ser>
        <c:ser>
          <c:idx val="4"/>
          <c:order val="4"/>
          <c:tx>
            <c:strRef>
              <c:f>'LIs Level'!$C$6</c:f>
              <c:strCache>
                <c:ptCount val="1"/>
                <c:pt idx="0">
                  <c:v>cdh60_3ma</c:v>
                </c:pt>
              </c:strCache>
            </c:strRef>
          </c:tx>
          <c:spPr>
            <a:ln w="28575" cap="rnd">
              <a:solidFill>
                <a:schemeClr val="accent5"/>
              </a:solidFill>
              <a:round/>
            </a:ln>
            <a:effectLst/>
          </c:spPr>
          <c:marker>
            <c:symbol val="none"/>
          </c:marker>
          <c:val>
            <c:numRef>
              <c:f>'LIs Level'!$D$6:$AA$6</c:f>
              <c:numCache>
                <c:formatCode>0.00</c:formatCode>
                <c:ptCount val="24"/>
                <c:pt idx="0">
                  <c:v>4.4742025434970856E-2</c:v>
                </c:pt>
                <c:pt idx="1">
                  <c:v>4.1940640658140182E-2</c:v>
                </c:pt>
                <c:pt idx="2">
                  <c:v>3.3762142062187195E-2</c:v>
                </c:pt>
                <c:pt idx="3">
                  <c:v>-1.2747281230986118E-2</c:v>
                </c:pt>
                <c:pt idx="4">
                  <c:v>-3.8950886577367783E-2</c:v>
                </c:pt>
                <c:pt idx="5">
                  <c:v>-4.0080122649669647E-2</c:v>
                </c:pt>
                <c:pt idx="6">
                  <c:v>-2.2095698863267899E-2</c:v>
                </c:pt>
                <c:pt idx="7">
                  <c:v>1.0144573636353016E-2</c:v>
                </c:pt>
                <c:pt idx="8">
                  <c:v>4.57012839615345E-3</c:v>
                </c:pt>
                <c:pt idx="9">
                  <c:v>9.499051608145237E-3</c:v>
                </c:pt>
                <c:pt idx="10">
                  <c:v>2.4568678811192513E-2</c:v>
                </c:pt>
                <c:pt idx="11">
                  <c:v>0.11574094742536545</c:v>
                </c:pt>
                <c:pt idx="12">
                  <c:v>0.20361082255840302</c:v>
                </c:pt>
                <c:pt idx="13">
                  <c:v>0.20769345760345459</c:v>
                </c:pt>
                <c:pt idx="14">
                  <c:v>0.19603115320205688</c:v>
                </c:pt>
                <c:pt idx="15">
                  <c:v>0.20929907262325287</c:v>
                </c:pt>
                <c:pt idx="16">
                  <c:v>0.21882545948028564</c:v>
                </c:pt>
                <c:pt idx="17">
                  <c:v>0.22690296173095703</c:v>
                </c:pt>
                <c:pt idx="18">
                  <c:v>0.22512590885162354</c:v>
                </c:pt>
                <c:pt idx="19">
                  <c:v>0.19948044419288635</c:v>
                </c:pt>
                <c:pt idx="20">
                  <c:v>0.10275537520647049</c:v>
                </c:pt>
                <c:pt idx="21">
                  <c:v>7.0452421903610229E-2</c:v>
                </c:pt>
                <c:pt idx="22">
                  <c:v>6.8253375589847565E-2</c:v>
                </c:pt>
                <c:pt idx="23">
                  <c:v>3.6428686231374741E-2</c:v>
                </c:pt>
              </c:numCache>
            </c:numRef>
          </c:val>
          <c:smooth val="0"/>
        </c:ser>
        <c:ser>
          <c:idx val="5"/>
          <c:order val="5"/>
          <c:tx>
            <c:strRef>
              <c:f>'LIs Level'!$C$7</c:f>
              <c:strCache>
                <c:ptCount val="1"/>
                <c:pt idx="0">
                  <c:v>cdh65_3ma</c:v>
                </c:pt>
              </c:strCache>
            </c:strRef>
          </c:tx>
          <c:spPr>
            <a:ln w="28575" cap="rnd">
              <a:solidFill>
                <a:schemeClr val="accent6"/>
              </a:solidFill>
              <a:round/>
            </a:ln>
            <a:effectLst/>
          </c:spPr>
          <c:marker>
            <c:symbol val="none"/>
          </c:marker>
          <c:val>
            <c:numRef>
              <c:f>'LIs Level'!$D$7:$AA$7</c:f>
              <c:numCache>
                <c:formatCode>0.00</c:formatCode>
                <c:ptCount val="24"/>
                <c:pt idx="0">
                  <c:v>4.326169565320015E-2</c:v>
                </c:pt>
                <c:pt idx="1">
                  <c:v>4.1603252291679382E-2</c:v>
                </c:pt>
                <c:pt idx="2">
                  <c:v>3.4467227756977081E-2</c:v>
                </c:pt>
                <c:pt idx="3">
                  <c:v>-1.1168994940817356E-2</c:v>
                </c:pt>
                <c:pt idx="4">
                  <c:v>-3.9538975805044174E-2</c:v>
                </c:pt>
                <c:pt idx="5">
                  <c:v>-4.3672390282154083E-2</c:v>
                </c:pt>
                <c:pt idx="6">
                  <c:v>-2.5326542556285858E-2</c:v>
                </c:pt>
                <c:pt idx="7">
                  <c:v>1.0002285242080688E-2</c:v>
                </c:pt>
                <c:pt idx="8">
                  <c:v>5.0548752769827843E-3</c:v>
                </c:pt>
                <c:pt idx="9">
                  <c:v>1.0413217358291149E-2</c:v>
                </c:pt>
                <c:pt idx="10">
                  <c:v>2.5067126378417015E-2</c:v>
                </c:pt>
                <c:pt idx="11">
                  <c:v>0.11615731567144394</c:v>
                </c:pt>
                <c:pt idx="12">
                  <c:v>0.20379550755023956</c:v>
                </c:pt>
                <c:pt idx="13">
                  <c:v>0.20782771706581116</c:v>
                </c:pt>
                <c:pt idx="14">
                  <c:v>0.196123406291008</c:v>
                </c:pt>
                <c:pt idx="15">
                  <c:v>0.20939059555530548</c:v>
                </c:pt>
                <c:pt idx="16">
                  <c:v>0.21889527142047882</c:v>
                </c:pt>
                <c:pt idx="17">
                  <c:v>0.22701111435890198</c:v>
                </c:pt>
                <c:pt idx="18">
                  <c:v>0.22521050274372101</c:v>
                </c:pt>
                <c:pt idx="19">
                  <c:v>0.19962731003761292</c:v>
                </c:pt>
                <c:pt idx="20">
                  <c:v>0.10296688973903656</c:v>
                </c:pt>
                <c:pt idx="21">
                  <c:v>7.1054644882678986E-2</c:v>
                </c:pt>
                <c:pt idx="22">
                  <c:v>6.9493748247623444E-2</c:v>
                </c:pt>
                <c:pt idx="23">
                  <c:v>3.7217289209365845E-2</c:v>
                </c:pt>
              </c:numCache>
            </c:numRef>
          </c:val>
          <c:smooth val="0"/>
        </c:ser>
        <c:ser>
          <c:idx val="6"/>
          <c:order val="6"/>
          <c:tx>
            <c:strRef>
              <c:f>'LIs Level'!$C$8</c:f>
              <c:strCache>
                <c:ptCount val="1"/>
                <c:pt idx="0">
                  <c:v>thi thi_24ma</c:v>
                </c:pt>
              </c:strCache>
            </c:strRef>
          </c:tx>
          <c:spPr>
            <a:ln w="28575" cap="rnd">
              <a:solidFill>
                <a:schemeClr val="accent1">
                  <a:lumMod val="60000"/>
                </a:schemeClr>
              </a:solidFill>
              <a:round/>
            </a:ln>
            <a:effectLst/>
          </c:spPr>
          <c:marker>
            <c:symbol val="none"/>
          </c:marker>
          <c:val>
            <c:numRef>
              <c:f>'LIs Level'!$D$8:$AA$8</c:f>
              <c:numCache>
                <c:formatCode>0.00</c:formatCode>
                <c:ptCount val="24"/>
                <c:pt idx="0">
                  <c:v>4.538387805223465E-2</c:v>
                </c:pt>
                <c:pt idx="1">
                  <c:v>4.2902577668428421E-2</c:v>
                </c:pt>
                <c:pt idx="2">
                  <c:v>3.3706244081258774E-2</c:v>
                </c:pt>
                <c:pt idx="3">
                  <c:v>-1.2966558337211609E-2</c:v>
                </c:pt>
                <c:pt idx="4">
                  <c:v>-3.8229774683713913E-2</c:v>
                </c:pt>
                <c:pt idx="5">
                  <c:v>-3.8004137575626373E-2</c:v>
                </c:pt>
                <c:pt idx="6">
                  <c:v>-2.2472970187664032E-2</c:v>
                </c:pt>
                <c:pt idx="7">
                  <c:v>8.3164526149630547E-3</c:v>
                </c:pt>
                <c:pt idx="8">
                  <c:v>4.0439814329147339E-3</c:v>
                </c:pt>
                <c:pt idx="9">
                  <c:v>9.7424993291497231E-3</c:v>
                </c:pt>
                <c:pt idx="10">
                  <c:v>2.1008292213082314E-2</c:v>
                </c:pt>
                <c:pt idx="11">
                  <c:v>0.11871913820505142</c:v>
                </c:pt>
                <c:pt idx="12">
                  <c:v>0.19953228533267975</c:v>
                </c:pt>
                <c:pt idx="13">
                  <c:v>0.21127085387706757</c:v>
                </c:pt>
                <c:pt idx="14">
                  <c:v>0.19474181532859802</c:v>
                </c:pt>
                <c:pt idx="15">
                  <c:v>0.21096058189868927</c:v>
                </c:pt>
                <c:pt idx="16">
                  <c:v>0.2175091952085495</c:v>
                </c:pt>
                <c:pt idx="17">
                  <c:v>0.22307811677455902</c:v>
                </c:pt>
                <c:pt idx="18">
                  <c:v>0.2231525331735611</c:v>
                </c:pt>
                <c:pt idx="19">
                  <c:v>0.20104494690895081</c:v>
                </c:pt>
                <c:pt idx="20">
                  <c:v>0.10729117691516876</c:v>
                </c:pt>
                <c:pt idx="21">
                  <c:v>7.4049040675163269E-2</c:v>
                </c:pt>
                <c:pt idx="22">
                  <c:v>7.1253553032875061E-2</c:v>
                </c:pt>
                <c:pt idx="23">
                  <c:v>3.6972001194953918E-2</c:v>
                </c:pt>
              </c:numCache>
            </c:numRef>
          </c:val>
          <c:smooth val="0"/>
        </c:ser>
        <c:ser>
          <c:idx val="7"/>
          <c:order val="7"/>
          <c:tx>
            <c:strRef>
              <c:f>'LIs Level'!$C$9</c:f>
              <c:strCache>
                <c:ptCount val="1"/>
                <c:pt idx="0">
                  <c:v>hi hi_24ma</c:v>
                </c:pt>
              </c:strCache>
            </c:strRef>
          </c:tx>
          <c:spPr>
            <a:ln w="28575" cap="rnd">
              <a:solidFill>
                <a:schemeClr val="accent2">
                  <a:lumMod val="60000"/>
                </a:schemeClr>
              </a:solidFill>
              <a:round/>
            </a:ln>
            <a:effectLst/>
          </c:spPr>
          <c:marker>
            <c:symbol val="none"/>
          </c:marker>
          <c:val>
            <c:numRef>
              <c:f>'LIs Level'!$D$9:$AA$9</c:f>
              <c:numCache>
                <c:formatCode>0.00</c:formatCode>
                <c:ptCount val="24"/>
                <c:pt idx="0">
                  <c:v>4.4272623956203461E-2</c:v>
                </c:pt>
                <c:pt idx="1">
                  <c:v>4.1799645870923996E-2</c:v>
                </c:pt>
                <c:pt idx="2">
                  <c:v>3.3790763467550278E-2</c:v>
                </c:pt>
                <c:pt idx="3">
                  <c:v>-1.1619925498962402E-2</c:v>
                </c:pt>
                <c:pt idx="4">
                  <c:v>-3.7375479936599731E-2</c:v>
                </c:pt>
                <c:pt idx="5">
                  <c:v>-3.8249395787715912E-2</c:v>
                </c:pt>
                <c:pt idx="6">
                  <c:v>-2.2765548899769783E-2</c:v>
                </c:pt>
                <c:pt idx="7">
                  <c:v>5.6792548857629299E-3</c:v>
                </c:pt>
                <c:pt idx="8">
                  <c:v>4.2918776161968708E-3</c:v>
                </c:pt>
                <c:pt idx="9">
                  <c:v>1.0920126922428608E-2</c:v>
                </c:pt>
                <c:pt idx="10">
                  <c:v>2.3575559258460999E-2</c:v>
                </c:pt>
                <c:pt idx="11">
                  <c:v>0.12043092399835587</c:v>
                </c:pt>
                <c:pt idx="12">
                  <c:v>0.20258276164531708</c:v>
                </c:pt>
                <c:pt idx="13">
                  <c:v>0.2123735249042511</c:v>
                </c:pt>
                <c:pt idx="14">
                  <c:v>0.1973232626914978</c:v>
                </c:pt>
                <c:pt idx="15">
                  <c:v>0.2132817804813385</c:v>
                </c:pt>
                <c:pt idx="16">
                  <c:v>0.22042323648929596</c:v>
                </c:pt>
                <c:pt idx="17">
                  <c:v>0.22400504350662231</c:v>
                </c:pt>
                <c:pt idx="18">
                  <c:v>0.22377996146678925</c:v>
                </c:pt>
                <c:pt idx="19">
                  <c:v>0.1994551420211792</c:v>
                </c:pt>
                <c:pt idx="20">
                  <c:v>0.10337425768375397</c:v>
                </c:pt>
                <c:pt idx="21">
                  <c:v>7.0945829153060913E-2</c:v>
                </c:pt>
                <c:pt idx="22">
                  <c:v>6.9833144545555115E-2</c:v>
                </c:pt>
                <c:pt idx="23">
                  <c:v>3.7101730704307556E-2</c:v>
                </c:pt>
              </c:numCache>
            </c:numRef>
          </c:val>
          <c:smooth val="0"/>
        </c:ser>
        <c:ser>
          <c:idx val="8"/>
          <c:order val="8"/>
          <c:tx>
            <c:strRef>
              <c:f>'LIs Level'!$C$10</c:f>
              <c:strCache>
                <c:ptCount val="1"/>
                <c:pt idx="0">
                  <c:v>cdh60 cdh60_24ma</c:v>
                </c:pt>
              </c:strCache>
            </c:strRef>
          </c:tx>
          <c:spPr>
            <a:ln w="28575" cap="rnd">
              <a:solidFill>
                <a:schemeClr val="accent3">
                  <a:lumMod val="60000"/>
                </a:schemeClr>
              </a:solidFill>
              <a:round/>
            </a:ln>
            <a:effectLst/>
          </c:spPr>
          <c:marker>
            <c:symbol val="none"/>
          </c:marker>
          <c:val>
            <c:numRef>
              <c:f>'LIs Level'!$D$10:$AA$10</c:f>
              <c:numCache>
                <c:formatCode>0.00</c:formatCode>
                <c:ptCount val="24"/>
                <c:pt idx="0">
                  <c:v>4.4056784361600876E-2</c:v>
                </c:pt>
                <c:pt idx="1">
                  <c:v>4.2040564119815826E-2</c:v>
                </c:pt>
                <c:pt idx="2">
                  <c:v>3.3696096390485764E-2</c:v>
                </c:pt>
                <c:pt idx="3">
                  <c:v>-1.2166851200163364E-2</c:v>
                </c:pt>
                <c:pt idx="4">
                  <c:v>-3.8869012147188187E-2</c:v>
                </c:pt>
                <c:pt idx="5">
                  <c:v>-3.9813801646232605E-2</c:v>
                </c:pt>
                <c:pt idx="6">
                  <c:v>-2.3632870987057686E-2</c:v>
                </c:pt>
                <c:pt idx="7">
                  <c:v>7.2201020084321499E-3</c:v>
                </c:pt>
                <c:pt idx="8">
                  <c:v>4.3444028124213219E-3</c:v>
                </c:pt>
                <c:pt idx="9">
                  <c:v>1.0536747984588146E-2</c:v>
                </c:pt>
                <c:pt idx="10">
                  <c:v>2.0718969404697418E-2</c:v>
                </c:pt>
                <c:pt idx="11">
                  <c:v>0.11810323596000671</c:v>
                </c:pt>
                <c:pt idx="12">
                  <c:v>0.19704230129718781</c:v>
                </c:pt>
                <c:pt idx="13">
                  <c:v>0.21050728857517242</c:v>
                </c:pt>
                <c:pt idx="14">
                  <c:v>0.19502022862434387</c:v>
                </c:pt>
                <c:pt idx="15">
                  <c:v>0.2114386260509491</c:v>
                </c:pt>
                <c:pt idx="16">
                  <c:v>0.21813979744911194</c:v>
                </c:pt>
                <c:pt idx="17">
                  <c:v>0.22186818718910217</c:v>
                </c:pt>
                <c:pt idx="18">
                  <c:v>0.22103647887706757</c:v>
                </c:pt>
                <c:pt idx="19">
                  <c:v>0.19855357706546783</c:v>
                </c:pt>
                <c:pt idx="20">
                  <c:v>0.10561871528625488</c:v>
                </c:pt>
                <c:pt idx="21">
                  <c:v>7.2718054056167603E-2</c:v>
                </c:pt>
                <c:pt idx="22">
                  <c:v>7.0358924567699432E-2</c:v>
                </c:pt>
                <c:pt idx="23">
                  <c:v>3.8037367165088654E-2</c:v>
                </c:pt>
              </c:numCache>
            </c:numRef>
          </c:val>
          <c:smooth val="0"/>
        </c:ser>
        <c:ser>
          <c:idx val="9"/>
          <c:order val="9"/>
          <c:tx>
            <c:strRef>
              <c:f>'LIs Level'!$C$11</c:f>
              <c:strCache>
                <c:ptCount val="1"/>
                <c:pt idx="0">
                  <c:v>cdh65 cdh65_24ma</c:v>
                </c:pt>
              </c:strCache>
            </c:strRef>
          </c:tx>
          <c:spPr>
            <a:ln w="50800" cap="rnd">
              <a:solidFill>
                <a:schemeClr val="accent4">
                  <a:lumMod val="60000"/>
                </a:schemeClr>
              </a:solidFill>
              <a:round/>
            </a:ln>
            <a:effectLst/>
          </c:spPr>
          <c:marker>
            <c:symbol val="none"/>
          </c:marker>
          <c:val>
            <c:numRef>
              <c:f>'LIs Level'!$D$11:$AA$11</c:f>
              <c:numCache>
                <c:formatCode>0.00</c:formatCode>
                <c:ptCount val="24"/>
                <c:pt idx="0">
                  <c:v>4.3109986931085587E-2</c:v>
                </c:pt>
                <c:pt idx="1">
                  <c:v>4.2250767350196838E-2</c:v>
                </c:pt>
                <c:pt idx="2">
                  <c:v>3.5514906048774719E-2</c:v>
                </c:pt>
                <c:pt idx="3">
                  <c:v>-8.5338028147816658E-3</c:v>
                </c:pt>
                <c:pt idx="4">
                  <c:v>-3.8460813462734222E-2</c:v>
                </c:pt>
                <c:pt idx="5">
                  <c:v>-4.333776980638504E-2</c:v>
                </c:pt>
                <c:pt idx="6">
                  <c:v>-2.4436144158244133E-2</c:v>
                </c:pt>
                <c:pt idx="7">
                  <c:v>7.6901344582438469E-3</c:v>
                </c:pt>
                <c:pt idx="8">
                  <c:v>4.9299933016300201E-3</c:v>
                </c:pt>
                <c:pt idx="9">
                  <c:v>1.1778549291193485E-2</c:v>
                </c:pt>
                <c:pt idx="10">
                  <c:v>2.0223759114742279E-2</c:v>
                </c:pt>
                <c:pt idx="11">
                  <c:v>0.11755003035068512</c:v>
                </c:pt>
                <c:pt idx="12">
                  <c:v>0.19612927734851837</c:v>
                </c:pt>
                <c:pt idx="13">
                  <c:v>0.20954252779483795</c:v>
                </c:pt>
                <c:pt idx="14">
                  <c:v>0.19365192949771881</c:v>
                </c:pt>
                <c:pt idx="15">
                  <c:v>0.20931179821491241</c:v>
                </c:pt>
                <c:pt idx="16">
                  <c:v>0.21696963906288147</c:v>
                </c:pt>
                <c:pt idx="17">
                  <c:v>0.21937182545661926</c:v>
                </c:pt>
                <c:pt idx="18">
                  <c:v>0.21753349900245667</c:v>
                </c:pt>
                <c:pt idx="19">
                  <c:v>0.19619226455688477</c:v>
                </c:pt>
                <c:pt idx="20">
                  <c:v>0.10564938187599182</c:v>
                </c:pt>
                <c:pt idx="21">
                  <c:v>7.3497727513313293E-2</c:v>
                </c:pt>
                <c:pt idx="22">
                  <c:v>7.1642957627773285E-2</c:v>
                </c:pt>
                <c:pt idx="23">
                  <c:v>3.7092983722686768E-2</c:v>
                </c:pt>
              </c:numCache>
            </c:numRef>
          </c:val>
          <c:smooth val="0"/>
        </c:ser>
        <c:ser>
          <c:idx val="10"/>
          <c:order val="10"/>
          <c:tx>
            <c:strRef>
              <c:f>'LIs Level'!$C$12</c:f>
              <c:strCache>
                <c:ptCount val="1"/>
                <c:pt idx="0">
                  <c:v>cdh60_3ma cdh60_24ma</c:v>
                </c:pt>
              </c:strCache>
            </c:strRef>
          </c:tx>
          <c:spPr>
            <a:ln w="28575" cap="rnd">
              <a:solidFill>
                <a:schemeClr val="accent5">
                  <a:lumMod val="60000"/>
                </a:schemeClr>
              </a:solidFill>
              <a:round/>
            </a:ln>
            <a:effectLst/>
          </c:spPr>
          <c:marker>
            <c:symbol val="none"/>
          </c:marker>
          <c:val>
            <c:numRef>
              <c:f>'LIs Level'!$D$12:$AA$12</c:f>
              <c:numCache>
                <c:formatCode>0.00</c:formatCode>
                <c:ptCount val="24"/>
                <c:pt idx="0">
                  <c:v>4.4569190591573715E-2</c:v>
                </c:pt>
                <c:pt idx="1">
                  <c:v>4.1937600821256638E-2</c:v>
                </c:pt>
                <c:pt idx="2">
                  <c:v>3.3765159547328949E-2</c:v>
                </c:pt>
                <c:pt idx="3">
                  <c:v>-1.2468496337532997E-2</c:v>
                </c:pt>
                <c:pt idx="4">
                  <c:v>-3.8658063858747482E-2</c:v>
                </c:pt>
                <c:pt idx="5">
                  <c:v>-4.0567319840192795E-2</c:v>
                </c:pt>
                <c:pt idx="6">
                  <c:v>-2.1222449839115143E-2</c:v>
                </c:pt>
                <c:pt idx="7">
                  <c:v>1.0073193348944187E-2</c:v>
                </c:pt>
                <c:pt idx="8">
                  <c:v>4.4990535825490952E-3</c:v>
                </c:pt>
                <c:pt idx="9">
                  <c:v>1.0136745870113373E-2</c:v>
                </c:pt>
                <c:pt idx="10">
                  <c:v>2.2694585844874382E-2</c:v>
                </c:pt>
                <c:pt idx="11">
                  <c:v>0.12066349387168884</c:v>
                </c:pt>
                <c:pt idx="12">
                  <c:v>0.19904537498950958</c:v>
                </c:pt>
                <c:pt idx="13">
                  <c:v>0.2113708108663559</c:v>
                </c:pt>
                <c:pt idx="14">
                  <c:v>0.19117791950702667</c:v>
                </c:pt>
                <c:pt idx="15">
                  <c:v>0.2081359326839447</c:v>
                </c:pt>
                <c:pt idx="16">
                  <c:v>0.21690009534358978</c:v>
                </c:pt>
                <c:pt idx="17">
                  <c:v>0.22260215878486633</c:v>
                </c:pt>
                <c:pt idx="18">
                  <c:v>0.22036115825176239</c:v>
                </c:pt>
                <c:pt idx="19">
                  <c:v>0.19250418245792389</c:v>
                </c:pt>
                <c:pt idx="20">
                  <c:v>0.10255157947540283</c:v>
                </c:pt>
                <c:pt idx="21">
                  <c:v>7.1665190160274506E-2</c:v>
                </c:pt>
                <c:pt idx="22">
                  <c:v>6.7983090877532959E-2</c:v>
                </c:pt>
                <c:pt idx="23">
                  <c:v>3.6214496940374374E-2</c:v>
                </c:pt>
              </c:numCache>
            </c:numRef>
          </c:val>
          <c:smooth val="0"/>
        </c:ser>
        <c:ser>
          <c:idx val="11"/>
          <c:order val="11"/>
          <c:tx>
            <c:strRef>
              <c:f>'LIs Level'!$C$13</c:f>
              <c:strCache>
                <c:ptCount val="1"/>
                <c:pt idx="0">
                  <c:v>cdh65_3ma cdh65_24ma</c:v>
                </c:pt>
              </c:strCache>
            </c:strRef>
          </c:tx>
          <c:spPr>
            <a:ln w="28575" cap="rnd">
              <a:solidFill>
                <a:schemeClr val="accent6">
                  <a:lumMod val="60000"/>
                </a:schemeClr>
              </a:solidFill>
              <a:round/>
            </a:ln>
            <a:effectLst/>
          </c:spPr>
          <c:marker>
            <c:symbol val="none"/>
          </c:marker>
          <c:val>
            <c:numRef>
              <c:f>'LIs Level'!$D$13:$AA$13</c:f>
              <c:numCache>
                <c:formatCode>0.00</c:formatCode>
                <c:ptCount val="24"/>
                <c:pt idx="0">
                  <c:v>4.3053712695837021E-2</c:v>
                </c:pt>
                <c:pt idx="1">
                  <c:v>4.1379883885383606E-2</c:v>
                </c:pt>
                <c:pt idx="2">
                  <c:v>3.4285809844732285E-2</c:v>
                </c:pt>
                <c:pt idx="3">
                  <c:v>-1.100211963057518E-2</c:v>
                </c:pt>
                <c:pt idx="4">
                  <c:v>-3.891386091709137E-2</c:v>
                </c:pt>
                <c:pt idx="5">
                  <c:v>-4.4112265110015869E-2</c:v>
                </c:pt>
                <c:pt idx="6">
                  <c:v>-2.4978136643767357E-2</c:v>
                </c:pt>
                <c:pt idx="7">
                  <c:v>8.495597168803215E-3</c:v>
                </c:pt>
                <c:pt idx="8">
                  <c:v>4.6270573511719704E-3</c:v>
                </c:pt>
                <c:pt idx="9">
                  <c:v>1.1975851841270924E-2</c:v>
                </c:pt>
                <c:pt idx="10">
                  <c:v>2.2519791498780251E-2</c:v>
                </c:pt>
                <c:pt idx="11">
                  <c:v>0.12006546556949615</c:v>
                </c:pt>
                <c:pt idx="12">
                  <c:v>0.19765844941139221</c:v>
                </c:pt>
                <c:pt idx="13">
                  <c:v>0.21003898978233337</c:v>
                </c:pt>
                <c:pt idx="14">
                  <c:v>0.18899343907833099</c:v>
                </c:pt>
                <c:pt idx="15">
                  <c:v>0.20441637933254242</c:v>
                </c:pt>
                <c:pt idx="16">
                  <c:v>0.21529880166053772</c:v>
                </c:pt>
                <c:pt idx="17">
                  <c:v>0.21967223286628723</c:v>
                </c:pt>
                <c:pt idx="18">
                  <c:v>0.21653370559215546</c:v>
                </c:pt>
                <c:pt idx="19">
                  <c:v>0.18838998675346375</c:v>
                </c:pt>
                <c:pt idx="20">
                  <c:v>9.995056688785553E-2</c:v>
                </c:pt>
                <c:pt idx="21">
                  <c:v>6.91375732421875E-2</c:v>
                </c:pt>
                <c:pt idx="22">
                  <c:v>6.7996032536029816E-2</c:v>
                </c:pt>
                <c:pt idx="23">
                  <c:v>3.7084862589836121E-2</c:v>
                </c:pt>
              </c:numCache>
            </c:numRef>
          </c:val>
          <c:smooth val="0"/>
        </c:ser>
        <c:ser>
          <c:idx val="12"/>
          <c:order val="12"/>
          <c:tx>
            <c:strRef>
              <c:f>'LIs Level'!$C$14</c:f>
              <c:strCache>
                <c:ptCount val="1"/>
                <c:pt idx="0">
                  <c:v>thi lagcdd60</c:v>
                </c:pt>
              </c:strCache>
            </c:strRef>
          </c:tx>
          <c:spPr>
            <a:ln w="28575" cap="rnd">
              <a:solidFill>
                <a:schemeClr val="accent1">
                  <a:lumMod val="80000"/>
                  <a:lumOff val="20000"/>
                </a:schemeClr>
              </a:solidFill>
              <a:round/>
            </a:ln>
            <a:effectLst/>
          </c:spPr>
          <c:marker>
            <c:symbol val="none"/>
          </c:marker>
          <c:val>
            <c:numRef>
              <c:f>'LIs Level'!$D$14:$AA$14</c:f>
              <c:numCache>
                <c:formatCode>0.00</c:formatCode>
                <c:ptCount val="24"/>
                <c:pt idx="0">
                  <c:v>4.551306739449501E-2</c:v>
                </c:pt>
                <c:pt idx="1">
                  <c:v>4.2801748961210251E-2</c:v>
                </c:pt>
                <c:pt idx="2">
                  <c:v>3.398401290178299E-2</c:v>
                </c:pt>
                <c:pt idx="3">
                  <c:v>-1.3040958903729916E-2</c:v>
                </c:pt>
                <c:pt idx="4">
                  <c:v>-3.840300440788269E-2</c:v>
                </c:pt>
                <c:pt idx="5">
                  <c:v>-3.7483841180801392E-2</c:v>
                </c:pt>
                <c:pt idx="6">
                  <c:v>-2.3301804438233376E-2</c:v>
                </c:pt>
                <c:pt idx="7">
                  <c:v>8.0087101086974144E-3</c:v>
                </c:pt>
                <c:pt idx="8">
                  <c:v>3.972458653151989E-3</c:v>
                </c:pt>
                <c:pt idx="9">
                  <c:v>9.52138751745224E-3</c:v>
                </c:pt>
                <c:pt idx="10">
                  <c:v>2.204270102083683E-2</c:v>
                </c:pt>
                <c:pt idx="11">
                  <c:v>0.11922741681337357</c:v>
                </c:pt>
                <c:pt idx="12">
                  <c:v>0.20177453756332397</c:v>
                </c:pt>
                <c:pt idx="13">
                  <c:v>0.21468782424926758</c:v>
                </c:pt>
                <c:pt idx="14">
                  <c:v>0.19846619665622711</c:v>
                </c:pt>
                <c:pt idx="15">
                  <c:v>0.21564954519271851</c:v>
                </c:pt>
                <c:pt idx="16">
                  <c:v>0.21993629634380341</c:v>
                </c:pt>
                <c:pt idx="17">
                  <c:v>0.22582882642745972</c:v>
                </c:pt>
                <c:pt idx="18">
                  <c:v>0.2267460823059082</c:v>
                </c:pt>
                <c:pt idx="19">
                  <c:v>0.20153011381626129</c:v>
                </c:pt>
                <c:pt idx="20">
                  <c:v>0.10865276306867599</c:v>
                </c:pt>
                <c:pt idx="21">
                  <c:v>7.5990051031112671E-2</c:v>
                </c:pt>
                <c:pt idx="22">
                  <c:v>7.1927286684513092E-2</c:v>
                </c:pt>
                <c:pt idx="23">
                  <c:v>3.6631893366575241E-2</c:v>
                </c:pt>
              </c:numCache>
            </c:numRef>
          </c:val>
          <c:smooth val="0"/>
        </c:ser>
        <c:ser>
          <c:idx val="13"/>
          <c:order val="13"/>
          <c:tx>
            <c:strRef>
              <c:f>'LIs Level'!$C$15</c:f>
              <c:strCache>
                <c:ptCount val="1"/>
                <c:pt idx="0">
                  <c:v>hi lagcdd60</c:v>
                </c:pt>
              </c:strCache>
            </c:strRef>
          </c:tx>
          <c:spPr>
            <a:ln w="28575" cap="rnd">
              <a:solidFill>
                <a:schemeClr val="accent2">
                  <a:lumMod val="80000"/>
                  <a:lumOff val="20000"/>
                </a:schemeClr>
              </a:solidFill>
              <a:round/>
            </a:ln>
            <a:effectLst/>
          </c:spPr>
          <c:marker>
            <c:symbol val="none"/>
          </c:marker>
          <c:val>
            <c:numRef>
              <c:f>'LIs Level'!$D$15:$AA$15</c:f>
              <c:numCache>
                <c:formatCode>0.00</c:formatCode>
                <c:ptCount val="24"/>
                <c:pt idx="0">
                  <c:v>4.5350451022386551E-2</c:v>
                </c:pt>
                <c:pt idx="1">
                  <c:v>4.2444482445716858E-2</c:v>
                </c:pt>
                <c:pt idx="2">
                  <c:v>3.4164790064096451E-2</c:v>
                </c:pt>
                <c:pt idx="3">
                  <c:v>-1.137872040271759E-2</c:v>
                </c:pt>
                <c:pt idx="4">
                  <c:v>-3.8345124572515488E-2</c:v>
                </c:pt>
                <c:pt idx="5">
                  <c:v>-3.8287550210952759E-2</c:v>
                </c:pt>
                <c:pt idx="6">
                  <c:v>-2.3183353245258331E-2</c:v>
                </c:pt>
                <c:pt idx="7">
                  <c:v>5.9252833016216755E-3</c:v>
                </c:pt>
                <c:pt idx="8">
                  <c:v>4.4097844511270523E-3</c:v>
                </c:pt>
                <c:pt idx="9">
                  <c:v>1.1033700779080391E-2</c:v>
                </c:pt>
                <c:pt idx="10">
                  <c:v>2.4182289838790894E-2</c:v>
                </c:pt>
                <c:pt idx="11">
                  <c:v>0.12099380046129227</c:v>
                </c:pt>
                <c:pt idx="12">
                  <c:v>0.20355743169784546</c:v>
                </c:pt>
                <c:pt idx="13">
                  <c:v>0.21532890200614929</c:v>
                </c:pt>
                <c:pt idx="14">
                  <c:v>0.19968792796134949</c:v>
                </c:pt>
                <c:pt idx="15">
                  <c:v>0.21758222579956055</c:v>
                </c:pt>
                <c:pt idx="16">
                  <c:v>0.22239777445793152</c:v>
                </c:pt>
                <c:pt idx="17">
                  <c:v>0.22663141787052155</c:v>
                </c:pt>
                <c:pt idx="18">
                  <c:v>0.2272103875875473</c:v>
                </c:pt>
                <c:pt idx="19">
                  <c:v>0.20068107545375824</c:v>
                </c:pt>
                <c:pt idx="20">
                  <c:v>0.10624267160892487</c:v>
                </c:pt>
                <c:pt idx="21">
                  <c:v>7.4254274368286133E-2</c:v>
                </c:pt>
                <c:pt idx="22">
                  <c:v>7.1326449513435364E-2</c:v>
                </c:pt>
                <c:pt idx="23">
                  <c:v>3.7592876702547073E-2</c:v>
                </c:pt>
              </c:numCache>
            </c:numRef>
          </c:val>
          <c:smooth val="0"/>
        </c:ser>
        <c:ser>
          <c:idx val="14"/>
          <c:order val="14"/>
          <c:tx>
            <c:strRef>
              <c:f>'LIs Level'!$C$16</c:f>
              <c:strCache>
                <c:ptCount val="1"/>
                <c:pt idx="0">
                  <c:v>cdh60 lagcdd60</c:v>
                </c:pt>
              </c:strCache>
            </c:strRef>
          </c:tx>
          <c:spPr>
            <a:ln w="28575" cap="rnd">
              <a:solidFill>
                <a:schemeClr val="accent3">
                  <a:lumMod val="80000"/>
                  <a:lumOff val="20000"/>
                </a:schemeClr>
              </a:solidFill>
              <a:round/>
            </a:ln>
            <a:effectLst/>
          </c:spPr>
          <c:marker>
            <c:symbol val="none"/>
          </c:marker>
          <c:val>
            <c:numRef>
              <c:f>'LIs Level'!$D$16:$AA$16</c:f>
              <c:numCache>
                <c:formatCode>0.00</c:formatCode>
                <c:ptCount val="24"/>
                <c:pt idx="0">
                  <c:v>4.4254060834646225E-2</c:v>
                </c:pt>
                <c:pt idx="1">
                  <c:v>4.2197439819574356E-2</c:v>
                </c:pt>
                <c:pt idx="2">
                  <c:v>3.3929772675037384E-2</c:v>
                </c:pt>
                <c:pt idx="3">
                  <c:v>-1.1620104312896729E-2</c:v>
                </c:pt>
                <c:pt idx="4">
                  <c:v>-3.855910524725914E-2</c:v>
                </c:pt>
                <c:pt idx="5">
                  <c:v>-3.9660193026065826E-2</c:v>
                </c:pt>
                <c:pt idx="6">
                  <c:v>-2.3430105298757553E-2</c:v>
                </c:pt>
                <c:pt idx="7">
                  <c:v>7.8392680734395981E-3</c:v>
                </c:pt>
                <c:pt idx="8">
                  <c:v>3.8854680024087429E-3</c:v>
                </c:pt>
                <c:pt idx="9">
                  <c:v>1.0429536923766136E-2</c:v>
                </c:pt>
                <c:pt idx="10">
                  <c:v>2.2523082792758942E-2</c:v>
                </c:pt>
                <c:pt idx="11">
                  <c:v>0.1191316545009613</c:v>
                </c:pt>
                <c:pt idx="12">
                  <c:v>0.20013591647148132</c:v>
                </c:pt>
                <c:pt idx="13">
                  <c:v>0.21442407369613647</c:v>
                </c:pt>
                <c:pt idx="14">
                  <c:v>0.19833140075206757</c:v>
                </c:pt>
                <c:pt idx="15">
                  <c:v>0.21613731980323792</c:v>
                </c:pt>
                <c:pt idx="16">
                  <c:v>0.22081767022609711</c:v>
                </c:pt>
                <c:pt idx="17">
                  <c:v>0.22591032087802887</c:v>
                </c:pt>
                <c:pt idx="18">
                  <c:v>0.2261781245470047</c:v>
                </c:pt>
                <c:pt idx="19">
                  <c:v>0.20095494389533997</c:v>
                </c:pt>
                <c:pt idx="20">
                  <c:v>0.1079757884144783</c:v>
                </c:pt>
                <c:pt idx="21">
                  <c:v>7.5490996241569519E-2</c:v>
                </c:pt>
                <c:pt idx="22">
                  <c:v>7.1765519678592682E-2</c:v>
                </c:pt>
                <c:pt idx="23">
                  <c:v>3.7379957735538483E-2</c:v>
                </c:pt>
              </c:numCache>
            </c:numRef>
          </c:val>
          <c:smooth val="0"/>
        </c:ser>
        <c:ser>
          <c:idx val="15"/>
          <c:order val="15"/>
          <c:tx>
            <c:strRef>
              <c:f>'LIs Level'!$C$17</c:f>
              <c:strCache>
                <c:ptCount val="1"/>
                <c:pt idx="0">
                  <c:v>cdh65 lagcdd60</c:v>
                </c:pt>
              </c:strCache>
            </c:strRef>
          </c:tx>
          <c:spPr>
            <a:ln w="28575" cap="rnd">
              <a:solidFill>
                <a:schemeClr val="accent4">
                  <a:lumMod val="80000"/>
                  <a:lumOff val="20000"/>
                </a:schemeClr>
              </a:solidFill>
              <a:round/>
            </a:ln>
            <a:effectLst/>
          </c:spPr>
          <c:marker>
            <c:symbol val="none"/>
          </c:marker>
          <c:val>
            <c:numRef>
              <c:f>'LIs Level'!$D$17:$AA$17</c:f>
              <c:numCache>
                <c:formatCode>0.00</c:formatCode>
                <c:ptCount val="24"/>
                <c:pt idx="0">
                  <c:v>4.3486841022968292E-2</c:v>
                </c:pt>
                <c:pt idx="1">
                  <c:v>4.2707029730081558E-2</c:v>
                </c:pt>
                <c:pt idx="2">
                  <c:v>3.5936012864112854E-2</c:v>
                </c:pt>
                <c:pt idx="3">
                  <c:v>-8.0664847046136856E-3</c:v>
                </c:pt>
                <c:pt idx="4">
                  <c:v>-3.8373153656721115E-2</c:v>
                </c:pt>
                <c:pt idx="5">
                  <c:v>-4.3025296181440353E-2</c:v>
                </c:pt>
                <c:pt idx="6">
                  <c:v>-2.3923359811306E-2</c:v>
                </c:pt>
                <c:pt idx="7">
                  <c:v>8.3508249372243881E-3</c:v>
                </c:pt>
                <c:pt idx="8">
                  <c:v>4.0271361358463764E-3</c:v>
                </c:pt>
                <c:pt idx="9">
                  <c:v>1.0947336442768574E-2</c:v>
                </c:pt>
                <c:pt idx="10">
                  <c:v>2.3117225617170334E-2</c:v>
                </c:pt>
                <c:pt idx="11">
                  <c:v>0.11913798749446869</c:v>
                </c:pt>
                <c:pt idx="12">
                  <c:v>0.20012281835079193</c:v>
                </c:pt>
                <c:pt idx="13">
                  <c:v>0.21424144506454468</c:v>
                </c:pt>
                <c:pt idx="14">
                  <c:v>0.19828324019908905</c:v>
                </c:pt>
                <c:pt idx="15">
                  <c:v>0.21621772646903992</c:v>
                </c:pt>
                <c:pt idx="16">
                  <c:v>0.22094589471817017</c:v>
                </c:pt>
                <c:pt idx="17">
                  <c:v>0.22622102499008179</c:v>
                </c:pt>
                <c:pt idx="18">
                  <c:v>0.22640682756900787</c:v>
                </c:pt>
                <c:pt idx="19">
                  <c:v>0.2015073299407959</c:v>
                </c:pt>
                <c:pt idx="20">
                  <c:v>0.10884135216474533</c:v>
                </c:pt>
                <c:pt idx="21">
                  <c:v>7.6514288783073425E-2</c:v>
                </c:pt>
                <c:pt idx="22">
                  <c:v>7.3964178562164307E-2</c:v>
                </c:pt>
                <c:pt idx="23">
                  <c:v>3.8779456168413162E-2</c:v>
                </c:pt>
              </c:numCache>
            </c:numRef>
          </c:val>
          <c:smooth val="0"/>
        </c:ser>
        <c:ser>
          <c:idx val="16"/>
          <c:order val="16"/>
          <c:tx>
            <c:strRef>
              <c:f>'LIs Level'!$C$18</c:f>
              <c:strCache>
                <c:ptCount val="1"/>
                <c:pt idx="0">
                  <c:v>cdh60_3ma lagcdd60</c:v>
                </c:pt>
              </c:strCache>
            </c:strRef>
          </c:tx>
          <c:spPr>
            <a:ln w="28575" cap="rnd">
              <a:solidFill>
                <a:schemeClr val="accent5">
                  <a:lumMod val="80000"/>
                  <a:lumOff val="20000"/>
                </a:schemeClr>
              </a:solidFill>
              <a:round/>
            </a:ln>
            <a:effectLst/>
          </c:spPr>
          <c:marker>
            <c:symbol val="none"/>
          </c:marker>
          <c:val>
            <c:numRef>
              <c:f>'LIs Level'!$D$18:$AA$18</c:f>
              <c:numCache>
                <c:formatCode>0.00</c:formatCode>
                <c:ptCount val="24"/>
                <c:pt idx="0">
                  <c:v>4.4866155833005905E-2</c:v>
                </c:pt>
                <c:pt idx="1">
                  <c:v>4.2105827480554581E-2</c:v>
                </c:pt>
                <c:pt idx="2">
                  <c:v>3.403637558221817E-2</c:v>
                </c:pt>
                <c:pt idx="3">
                  <c:v>-1.1944718658924103E-2</c:v>
                </c:pt>
                <c:pt idx="4">
                  <c:v>-3.8276940584182739E-2</c:v>
                </c:pt>
                <c:pt idx="5">
                  <c:v>-4.0285553783178329E-2</c:v>
                </c:pt>
                <c:pt idx="6">
                  <c:v>-2.1230094134807587E-2</c:v>
                </c:pt>
                <c:pt idx="7">
                  <c:v>1.0293880477547646E-2</c:v>
                </c:pt>
                <c:pt idx="8">
                  <c:v>4.9398732371628284E-3</c:v>
                </c:pt>
                <c:pt idx="9">
                  <c:v>1.1271348223090172E-2</c:v>
                </c:pt>
                <c:pt idx="10">
                  <c:v>2.4717742577195168E-2</c:v>
                </c:pt>
                <c:pt idx="11">
                  <c:v>0.12104174494743347</c:v>
                </c:pt>
                <c:pt idx="12">
                  <c:v>0.20197975635528564</c:v>
                </c:pt>
                <c:pt idx="13">
                  <c:v>0.21499481797218323</c:v>
                </c:pt>
                <c:pt idx="14">
                  <c:v>0.19606941938400269</c:v>
                </c:pt>
                <c:pt idx="15">
                  <c:v>0.21423396468162537</c:v>
                </c:pt>
                <c:pt idx="16">
                  <c:v>0.22002999484539032</c:v>
                </c:pt>
                <c:pt idx="17">
                  <c:v>0.226577028632164</c:v>
                </c:pt>
                <c:pt idx="18">
                  <c:v>0.22614835202693939</c:v>
                </c:pt>
                <c:pt idx="19">
                  <c:v>0.19834613800048828</c:v>
                </c:pt>
                <c:pt idx="20">
                  <c:v>0.10591893643140793</c:v>
                </c:pt>
                <c:pt idx="21">
                  <c:v>7.431475818157196E-2</c:v>
                </c:pt>
                <c:pt idx="22">
                  <c:v>7.0344209671020508E-2</c:v>
                </c:pt>
                <c:pt idx="23">
                  <c:v>3.5616889595985413E-2</c:v>
                </c:pt>
              </c:numCache>
            </c:numRef>
          </c:val>
          <c:smooth val="0"/>
        </c:ser>
        <c:ser>
          <c:idx val="17"/>
          <c:order val="17"/>
          <c:tx>
            <c:strRef>
              <c:f>'LIs Level'!$C$19</c:f>
              <c:strCache>
                <c:ptCount val="1"/>
                <c:pt idx="0">
                  <c:v>cdh65_3ma lagcdd60</c:v>
                </c:pt>
              </c:strCache>
            </c:strRef>
          </c:tx>
          <c:spPr>
            <a:ln w="28575" cap="rnd">
              <a:solidFill>
                <a:schemeClr val="accent6">
                  <a:lumMod val="80000"/>
                  <a:lumOff val="20000"/>
                </a:schemeClr>
              </a:solidFill>
              <a:round/>
            </a:ln>
            <a:effectLst/>
          </c:spPr>
          <c:marker>
            <c:symbol val="none"/>
          </c:marker>
          <c:val>
            <c:numRef>
              <c:f>'LIs Level'!$D$19:$AA$19</c:f>
              <c:numCache>
                <c:formatCode>0.00</c:formatCode>
                <c:ptCount val="24"/>
                <c:pt idx="0">
                  <c:v>4.3295357376337051E-2</c:v>
                </c:pt>
                <c:pt idx="1">
                  <c:v>4.1863728314638138E-2</c:v>
                </c:pt>
                <c:pt idx="2">
                  <c:v>3.486170619726181E-2</c:v>
                </c:pt>
                <c:pt idx="3">
                  <c:v>-1.0031901299953461E-2</c:v>
                </c:pt>
                <c:pt idx="4">
                  <c:v>-3.8352847099304199E-2</c:v>
                </c:pt>
                <c:pt idx="5">
                  <c:v>-4.3562166392803192E-2</c:v>
                </c:pt>
                <c:pt idx="6">
                  <c:v>-2.4728758260607719E-2</c:v>
                </c:pt>
                <c:pt idx="7">
                  <c:v>9.1461008414626122E-3</c:v>
                </c:pt>
                <c:pt idx="8">
                  <c:v>5.0682849250733852E-3</c:v>
                </c:pt>
                <c:pt idx="9">
                  <c:v>1.2390824034810066E-2</c:v>
                </c:pt>
                <c:pt idx="10">
                  <c:v>2.6043280959129333E-2</c:v>
                </c:pt>
                <c:pt idx="11">
                  <c:v>0.12109076976776123</c:v>
                </c:pt>
                <c:pt idx="12">
                  <c:v>0.20228086411952972</c:v>
                </c:pt>
                <c:pt idx="13">
                  <c:v>0.214906245470047</c:v>
                </c:pt>
                <c:pt idx="14">
                  <c:v>0.19592371582984924</c:v>
                </c:pt>
                <c:pt idx="15">
                  <c:v>0.21418812870979309</c:v>
                </c:pt>
                <c:pt idx="16">
                  <c:v>0.22002921998500824</c:v>
                </c:pt>
                <c:pt idx="17">
                  <c:v>0.2266579270362854</c:v>
                </c:pt>
                <c:pt idx="18">
                  <c:v>0.22625812888145447</c:v>
                </c:pt>
                <c:pt idx="19">
                  <c:v>0.19855776429176331</c:v>
                </c:pt>
                <c:pt idx="20">
                  <c:v>0.10621140897274017</c:v>
                </c:pt>
                <c:pt idx="21">
                  <c:v>7.4560821056365967E-2</c:v>
                </c:pt>
                <c:pt idx="22">
                  <c:v>7.1591109037399292E-2</c:v>
                </c:pt>
                <c:pt idx="23">
                  <c:v>3.7200227379798889E-2</c:v>
                </c:pt>
              </c:numCache>
            </c:numRef>
          </c:val>
          <c:smooth val="0"/>
        </c:ser>
        <c:ser>
          <c:idx val="18"/>
          <c:order val="18"/>
          <c:tx>
            <c:strRef>
              <c:f>'LIs Level'!$C$20</c:f>
              <c:strCache>
                <c:ptCount val="1"/>
                <c:pt idx="0">
                  <c:v>mean17</c:v>
                </c:pt>
              </c:strCache>
            </c:strRef>
          </c:tx>
          <c:spPr>
            <a:ln w="28575" cap="rnd">
              <a:solidFill>
                <a:schemeClr val="accent1">
                  <a:lumMod val="80000"/>
                </a:schemeClr>
              </a:solidFill>
              <a:round/>
            </a:ln>
            <a:effectLst/>
          </c:spPr>
          <c:marker>
            <c:symbol val="none"/>
          </c:marker>
          <c:val>
            <c:numRef>
              <c:f>'LIs Level'!$D$20:$AA$20</c:f>
              <c:numCache>
                <c:formatCode>0.00</c:formatCode>
                <c:ptCount val="24"/>
                <c:pt idx="0">
                  <c:v>4.6588711440563202E-2</c:v>
                </c:pt>
                <c:pt idx="1">
                  <c:v>4.3819967657327652E-2</c:v>
                </c:pt>
                <c:pt idx="2">
                  <c:v>3.4941356629133224E-2</c:v>
                </c:pt>
                <c:pt idx="3">
                  <c:v>-1.0315385647118092E-2</c:v>
                </c:pt>
                <c:pt idx="4">
                  <c:v>-3.4866131842136383E-2</c:v>
                </c:pt>
                <c:pt idx="5">
                  <c:v>-3.517518937587738E-2</c:v>
                </c:pt>
                <c:pt idx="6">
                  <c:v>-2.3325223475694656E-2</c:v>
                </c:pt>
                <c:pt idx="7">
                  <c:v>5.9841270558536053E-3</c:v>
                </c:pt>
                <c:pt idx="8">
                  <c:v>1.386693213135004E-3</c:v>
                </c:pt>
                <c:pt idx="9">
                  <c:v>7.8446036204695702E-3</c:v>
                </c:pt>
                <c:pt idx="10">
                  <c:v>2.5643156841397285E-2</c:v>
                </c:pt>
                <c:pt idx="11">
                  <c:v>0.11855322867631912</c:v>
                </c:pt>
                <c:pt idx="12">
                  <c:v>0.20774674415588379</c:v>
                </c:pt>
                <c:pt idx="13">
                  <c:v>0.21309782564640045</c:v>
                </c:pt>
                <c:pt idx="14">
                  <c:v>0.20055049657821655</c:v>
                </c:pt>
                <c:pt idx="15">
                  <c:v>0.21357728540897369</c:v>
                </c:pt>
                <c:pt idx="16">
                  <c:v>0.22079505026340485</c:v>
                </c:pt>
                <c:pt idx="17">
                  <c:v>0.22809050977230072</c:v>
                </c:pt>
                <c:pt idx="18">
                  <c:v>0.22606664896011353</c:v>
                </c:pt>
                <c:pt idx="19">
                  <c:v>0.20086756348609924</c:v>
                </c:pt>
                <c:pt idx="20">
                  <c:v>0.1053854376077652</c:v>
                </c:pt>
                <c:pt idx="21">
                  <c:v>7.1869023144245148E-2</c:v>
                </c:pt>
                <c:pt idx="22">
                  <c:v>6.7591205239295959E-2</c:v>
                </c:pt>
                <c:pt idx="23">
                  <c:v>3.451879695057869E-2</c:v>
                </c:pt>
              </c:numCache>
            </c:numRef>
          </c:val>
          <c:smooth val="0"/>
        </c:ser>
        <c:ser>
          <c:idx val="19"/>
          <c:order val="19"/>
          <c:tx>
            <c:strRef>
              <c:f>'LIs Level'!$C$21</c:f>
              <c:strCache>
                <c:ptCount val="1"/>
                <c:pt idx="0">
                  <c:v>cdh60 mean17</c:v>
                </c:pt>
              </c:strCache>
            </c:strRef>
          </c:tx>
          <c:spPr>
            <a:ln w="28575" cap="rnd">
              <a:solidFill>
                <a:schemeClr val="accent2">
                  <a:lumMod val="80000"/>
                </a:schemeClr>
              </a:solidFill>
              <a:round/>
            </a:ln>
            <a:effectLst/>
          </c:spPr>
          <c:marker>
            <c:symbol val="none"/>
          </c:marker>
          <c:val>
            <c:numRef>
              <c:f>'LIs Level'!$D$21:$AA$21</c:f>
              <c:numCache>
                <c:formatCode>0.00</c:formatCode>
                <c:ptCount val="24"/>
                <c:pt idx="0">
                  <c:v>4.2335778474807739E-2</c:v>
                </c:pt>
                <c:pt idx="1">
                  <c:v>4.24923375248909E-2</c:v>
                </c:pt>
                <c:pt idx="2">
                  <c:v>3.4112259745597839E-2</c:v>
                </c:pt>
                <c:pt idx="3">
                  <c:v>-1.0960538871586323E-2</c:v>
                </c:pt>
                <c:pt idx="4">
                  <c:v>-3.8273997604846954E-2</c:v>
                </c:pt>
                <c:pt idx="5">
                  <c:v>-4.0045537054538727E-2</c:v>
                </c:pt>
                <c:pt idx="6">
                  <c:v>-2.0957812666893005E-2</c:v>
                </c:pt>
                <c:pt idx="7">
                  <c:v>7.9481489956378937E-3</c:v>
                </c:pt>
                <c:pt idx="8">
                  <c:v>1.6498195473104715E-3</c:v>
                </c:pt>
                <c:pt idx="9">
                  <c:v>1.1606970801949501E-2</c:v>
                </c:pt>
                <c:pt idx="10">
                  <c:v>2.2579792886972427E-2</c:v>
                </c:pt>
                <c:pt idx="11">
                  <c:v>0.113987997174263</c:v>
                </c:pt>
                <c:pt idx="12">
                  <c:v>0.19025300443172455</c:v>
                </c:pt>
                <c:pt idx="13">
                  <c:v>0.20533594489097595</c:v>
                </c:pt>
                <c:pt idx="14">
                  <c:v>0.19287614524364471</c:v>
                </c:pt>
                <c:pt idx="15">
                  <c:v>0.20994961261749268</c:v>
                </c:pt>
                <c:pt idx="16">
                  <c:v>0.21692381799221039</c:v>
                </c:pt>
                <c:pt idx="17">
                  <c:v>0.22172705829143524</c:v>
                </c:pt>
                <c:pt idx="18">
                  <c:v>0.22222895920276642</c:v>
                </c:pt>
                <c:pt idx="19">
                  <c:v>0.19992303848266602</c:v>
                </c:pt>
                <c:pt idx="20">
                  <c:v>0.105364128947258</c:v>
                </c:pt>
                <c:pt idx="21">
                  <c:v>7.2269722819328308E-2</c:v>
                </c:pt>
                <c:pt idx="22">
                  <c:v>7.0283792912960052E-2</c:v>
                </c:pt>
                <c:pt idx="23">
                  <c:v>3.8090836256742477E-2</c:v>
                </c:pt>
              </c:numCache>
            </c:numRef>
          </c:val>
          <c:smooth val="0"/>
        </c:ser>
        <c:ser>
          <c:idx val="20"/>
          <c:order val="20"/>
          <c:tx>
            <c:strRef>
              <c:f>'LIs Level'!$C$22</c:f>
              <c:strCache>
                <c:ptCount val="1"/>
                <c:pt idx="0">
                  <c:v>cdh65 mean17</c:v>
                </c:pt>
              </c:strCache>
            </c:strRef>
          </c:tx>
          <c:spPr>
            <a:ln w="28575" cap="rnd">
              <a:solidFill>
                <a:schemeClr val="accent3">
                  <a:lumMod val="80000"/>
                </a:schemeClr>
              </a:solidFill>
              <a:round/>
            </a:ln>
            <a:effectLst/>
          </c:spPr>
          <c:marker>
            <c:symbol val="none"/>
          </c:marker>
          <c:val>
            <c:numRef>
              <c:f>'LIs Level'!$D$22:$AA$22</c:f>
              <c:numCache>
                <c:formatCode>0.00</c:formatCode>
                <c:ptCount val="24"/>
                <c:pt idx="0">
                  <c:v>4.2382918298244476E-2</c:v>
                </c:pt>
                <c:pt idx="1">
                  <c:v>4.3181218206882477E-2</c:v>
                </c:pt>
                <c:pt idx="2">
                  <c:v>3.6345981061458588E-2</c:v>
                </c:pt>
                <c:pt idx="3">
                  <c:v>-7.5150826014578342E-3</c:v>
                </c:pt>
                <c:pt idx="4">
                  <c:v>-3.8129225373268127E-2</c:v>
                </c:pt>
                <c:pt idx="5">
                  <c:v>-4.3205514550209045E-2</c:v>
                </c:pt>
                <c:pt idx="6">
                  <c:v>-2.316189743578434E-2</c:v>
                </c:pt>
                <c:pt idx="7">
                  <c:v>7.1921260096132755E-3</c:v>
                </c:pt>
                <c:pt idx="8">
                  <c:v>6.3350034179165959E-4</c:v>
                </c:pt>
                <c:pt idx="9">
                  <c:v>1.0593816637992859E-2</c:v>
                </c:pt>
                <c:pt idx="10">
                  <c:v>2.467973530292511E-2</c:v>
                </c:pt>
                <c:pt idx="11">
                  <c:v>0.11413712054491043</c:v>
                </c:pt>
                <c:pt idx="12">
                  <c:v>0.19109839200973511</c:v>
                </c:pt>
                <c:pt idx="13">
                  <c:v>0.20480628311634064</c:v>
                </c:pt>
                <c:pt idx="14">
                  <c:v>0.19295728206634521</c:v>
                </c:pt>
                <c:pt idx="15">
                  <c:v>0.21022240817546844</c:v>
                </c:pt>
                <c:pt idx="16">
                  <c:v>0.21737264096736908</c:v>
                </c:pt>
                <c:pt idx="17">
                  <c:v>0.2228567898273468</c:v>
                </c:pt>
                <c:pt idx="18">
                  <c:v>0.22312794625759125</c:v>
                </c:pt>
                <c:pt idx="19">
                  <c:v>0.2007649838924408</c:v>
                </c:pt>
                <c:pt idx="20">
                  <c:v>0.10558043420314789</c:v>
                </c:pt>
                <c:pt idx="21">
                  <c:v>7.3057770729064941E-2</c:v>
                </c:pt>
                <c:pt idx="22">
                  <c:v>7.1027576923370361E-2</c:v>
                </c:pt>
                <c:pt idx="23">
                  <c:v>3.7042900919914246E-2</c:v>
                </c:pt>
              </c:numCache>
            </c:numRef>
          </c:val>
          <c:smooth val="0"/>
        </c:ser>
        <c:dLbls>
          <c:showLegendKey val="0"/>
          <c:showVal val="0"/>
          <c:showCatName val="0"/>
          <c:showSerName val="0"/>
          <c:showPercent val="0"/>
          <c:showBubbleSize val="0"/>
        </c:dLbls>
        <c:smooth val="0"/>
        <c:axId val="303351312"/>
        <c:axId val="254412016"/>
      </c:lineChart>
      <c:catAx>
        <c:axId val="30335131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254412016"/>
        <c:crosses val="autoZero"/>
        <c:auto val="1"/>
        <c:lblAlgn val="ctr"/>
        <c:lblOffset val="100"/>
        <c:noMultiLvlLbl val="0"/>
      </c:catAx>
      <c:valAx>
        <c:axId val="2544120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Average per Customer Load Impact (MW)</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33513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Sheet2!$G$3</c:f>
              <c:strCache>
                <c:ptCount val="1"/>
                <c:pt idx="0">
                  <c:v>Observed</c:v>
                </c:pt>
              </c:strCache>
            </c:strRef>
          </c:tx>
          <c:spPr>
            <a:ln w="38100" cap="rnd">
              <a:solidFill>
                <a:schemeClr val="accent1"/>
              </a:solidFill>
              <a:round/>
            </a:ln>
            <a:effectLst/>
          </c:spPr>
          <c:marker>
            <c:symbol val="none"/>
          </c:marker>
          <c:cat>
            <c:numRef>
              <c:f>Sheet2!$F$4:$F$27</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Sheet2!$G$4:$G$27</c:f>
              <c:numCache>
                <c:formatCode>0.00</c:formatCode>
                <c:ptCount val="24"/>
                <c:pt idx="0">
                  <c:v>1.2645800005305896</c:v>
                </c:pt>
                <c:pt idx="1">
                  <c:v>1.2366041486913508</c:v>
                </c:pt>
                <c:pt idx="2">
                  <c:v>1.2204331809824163</c:v>
                </c:pt>
                <c:pt idx="3">
                  <c:v>1.2140813849189065</c:v>
                </c:pt>
                <c:pt idx="4">
                  <c:v>1.2241105816581033</c:v>
                </c:pt>
                <c:pt idx="5">
                  <c:v>1.2645400979302146</c:v>
                </c:pt>
                <c:pt idx="6">
                  <c:v>1.3167596947063098</c:v>
                </c:pt>
                <c:pt idx="7">
                  <c:v>1.3532590432600542</c:v>
                </c:pt>
                <c:pt idx="8">
                  <c:v>1.3697548779574307</c:v>
                </c:pt>
                <c:pt idx="9">
                  <c:v>1.3880243301391602</c:v>
                </c:pt>
                <c:pt idx="10">
                  <c:v>1.4061890081925825</c:v>
                </c:pt>
                <c:pt idx="11">
                  <c:v>1.4375668330626055</c:v>
                </c:pt>
                <c:pt idx="12">
                  <c:v>1.4257416074926204</c:v>
                </c:pt>
                <c:pt idx="13">
                  <c:v>1.4298447370529175</c:v>
                </c:pt>
                <c:pt idx="14">
                  <c:v>1.4245412674817173</c:v>
                </c:pt>
                <c:pt idx="15">
                  <c:v>1.4142618504437534</c:v>
                </c:pt>
                <c:pt idx="16">
                  <c:v>1.4157025163823909</c:v>
                </c:pt>
                <c:pt idx="17">
                  <c:v>1.3964475826783613</c:v>
                </c:pt>
                <c:pt idx="18">
                  <c:v>1.3651548840782859</c:v>
                </c:pt>
                <c:pt idx="19">
                  <c:v>1.3335451104424216</c:v>
                </c:pt>
                <c:pt idx="20">
                  <c:v>1.3196576183492488</c:v>
                </c:pt>
                <c:pt idx="21">
                  <c:v>1.3106596253134988</c:v>
                </c:pt>
                <c:pt idx="22">
                  <c:v>1.2938663092526523</c:v>
                </c:pt>
                <c:pt idx="23">
                  <c:v>1.2868844595822422</c:v>
                </c:pt>
              </c:numCache>
            </c:numRef>
          </c:val>
          <c:smooth val="0"/>
        </c:ser>
        <c:ser>
          <c:idx val="1"/>
          <c:order val="1"/>
          <c:tx>
            <c:strRef>
              <c:f>Sheet2!$H$3</c:f>
              <c:strCache>
                <c:ptCount val="1"/>
                <c:pt idx="0">
                  <c:v>Predicted</c:v>
                </c:pt>
              </c:strCache>
            </c:strRef>
          </c:tx>
          <c:spPr>
            <a:ln w="38100" cap="rnd">
              <a:solidFill>
                <a:schemeClr val="accent2"/>
              </a:solidFill>
              <a:prstDash val="sysDash"/>
              <a:round/>
            </a:ln>
            <a:effectLst/>
          </c:spPr>
          <c:marker>
            <c:symbol val="none"/>
          </c:marker>
          <c:cat>
            <c:numRef>
              <c:f>Sheet2!$F$4:$F$27</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Sheet2!$H$4:$H$27</c:f>
              <c:numCache>
                <c:formatCode>0.00</c:formatCode>
                <c:ptCount val="24"/>
                <c:pt idx="0">
                  <c:v>1.2761444395238704</c:v>
                </c:pt>
                <c:pt idx="1">
                  <c:v>1.2521178830753674</c:v>
                </c:pt>
                <c:pt idx="2">
                  <c:v>1.2321999940005215</c:v>
                </c:pt>
                <c:pt idx="3">
                  <c:v>1.224165602163835</c:v>
                </c:pt>
                <c:pt idx="4">
                  <c:v>1.2299741723320701</c:v>
                </c:pt>
                <c:pt idx="5">
                  <c:v>1.2626219120892612</c:v>
                </c:pt>
                <c:pt idx="6">
                  <c:v>1.3123055154627019</c:v>
                </c:pt>
                <c:pt idx="7">
                  <c:v>1.3469904444434426</c:v>
                </c:pt>
                <c:pt idx="8">
                  <c:v>1.3656674731861462</c:v>
                </c:pt>
                <c:pt idx="9">
                  <c:v>1.3885180733420632</c:v>
                </c:pt>
                <c:pt idx="10">
                  <c:v>1.4015023925087668</c:v>
                </c:pt>
                <c:pt idx="11">
                  <c:v>1.4239471392198042</c:v>
                </c:pt>
                <c:pt idx="12">
                  <c:v>1.4212085983969949</c:v>
                </c:pt>
                <c:pt idx="13">
                  <c:v>1.4341957569122314</c:v>
                </c:pt>
                <c:pt idx="14">
                  <c:v>1.4362976442683826</c:v>
                </c:pt>
                <c:pt idx="15">
                  <c:v>1.4331915595314719</c:v>
                </c:pt>
                <c:pt idx="16">
                  <c:v>1.4373703761534258</c:v>
                </c:pt>
                <c:pt idx="17">
                  <c:v>1.415472225709395</c:v>
                </c:pt>
                <c:pt idx="18">
                  <c:v>1.3830875049937854</c:v>
                </c:pt>
                <c:pt idx="19">
                  <c:v>1.3531000939282505</c:v>
                </c:pt>
                <c:pt idx="20">
                  <c:v>1.3410382162440906</c:v>
                </c:pt>
                <c:pt idx="21">
                  <c:v>1.3286171284588901</c:v>
                </c:pt>
                <c:pt idx="22">
                  <c:v>1.3076503060080789</c:v>
                </c:pt>
                <c:pt idx="23">
                  <c:v>1.2976359887556597</c:v>
                </c:pt>
              </c:numCache>
            </c:numRef>
          </c:val>
          <c:smooth val="0"/>
        </c:ser>
        <c:dLbls>
          <c:showLegendKey val="0"/>
          <c:showVal val="0"/>
          <c:showCatName val="0"/>
          <c:showSerName val="0"/>
          <c:showPercent val="0"/>
          <c:showBubbleSize val="0"/>
        </c:dLbls>
        <c:smooth val="0"/>
        <c:axId val="304917272"/>
        <c:axId val="304915704"/>
      </c:lineChart>
      <c:catAx>
        <c:axId val="30491727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4915704"/>
        <c:crosses val="autoZero"/>
        <c:auto val="1"/>
        <c:lblAlgn val="ctr"/>
        <c:lblOffset val="100"/>
        <c:noMultiLvlLbl val="0"/>
      </c:catAx>
      <c:valAx>
        <c:axId val="304915704"/>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4917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Sheet2!$G$3</c:f>
              <c:strCache>
                <c:ptCount val="1"/>
                <c:pt idx="0">
                  <c:v>Observed</c:v>
                </c:pt>
              </c:strCache>
            </c:strRef>
          </c:tx>
          <c:spPr>
            <a:ln w="38100" cap="rnd">
              <a:solidFill>
                <a:schemeClr val="accent1"/>
              </a:solidFill>
              <a:round/>
            </a:ln>
            <a:effectLst/>
          </c:spPr>
          <c:marker>
            <c:symbol val="none"/>
          </c:marker>
          <c:cat>
            <c:numRef>
              <c:f>Sheet2!$F$4:$F$27</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Sheet2!$G$4:$G$27</c:f>
              <c:numCache>
                <c:formatCode>0.00</c:formatCode>
                <c:ptCount val="24"/>
                <c:pt idx="0">
                  <c:v>0.9013887345790863</c:v>
                </c:pt>
                <c:pt idx="1">
                  <c:v>0.89219753444194794</c:v>
                </c:pt>
                <c:pt idx="2">
                  <c:v>0.88447678089141846</c:v>
                </c:pt>
                <c:pt idx="3">
                  <c:v>0.88378360122442245</c:v>
                </c:pt>
                <c:pt idx="4">
                  <c:v>0.8917582705616951</c:v>
                </c:pt>
                <c:pt idx="5">
                  <c:v>0.94551920145750046</c:v>
                </c:pt>
                <c:pt idx="6">
                  <c:v>1.0453189462423325</c:v>
                </c:pt>
                <c:pt idx="7">
                  <c:v>1.0740234404802322</c:v>
                </c:pt>
                <c:pt idx="8">
                  <c:v>1.1115884780883789</c:v>
                </c:pt>
                <c:pt idx="9">
                  <c:v>1.1364808827638626</c:v>
                </c:pt>
                <c:pt idx="10">
                  <c:v>1.1513352394104004</c:v>
                </c:pt>
                <c:pt idx="11">
                  <c:v>1.1536650806665421</c:v>
                </c:pt>
                <c:pt idx="12">
                  <c:v>1.1541045606136322</c:v>
                </c:pt>
                <c:pt idx="13">
                  <c:v>1.1292576640844345</c:v>
                </c:pt>
                <c:pt idx="14">
                  <c:v>1.1208857744932175</c:v>
                </c:pt>
                <c:pt idx="15">
                  <c:v>1.1078347861766815</c:v>
                </c:pt>
                <c:pt idx="16">
                  <c:v>1.1095625460147858</c:v>
                </c:pt>
                <c:pt idx="17">
                  <c:v>1.0843621790409088</c:v>
                </c:pt>
                <c:pt idx="18">
                  <c:v>1.0432526543736458</c:v>
                </c:pt>
                <c:pt idx="19">
                  <c:v>1.0456111952662468</c:v>
                </c:pt>
                <c:pt idx="20">
                  <c:v>1.0496446192264557</c:v>
                </c:pt>
                <c:pt idx="21">
                  <c:v>1.0324828624725342</c:v>
                </c:pt>
                <c:pt idx="22">
                  <c:v>1.0052129179239273</c:v>
                </c:pt>
                <c:pt idx="23">
                  <c:v>0.93424279242753983</c:v>
                </c:pt>
              </c:numCache>
            </c:numRef>
          </c:val>
          <c:smooth val="0"/>
        </c:ser>
        <c:ser>
          <c:idx val="1"/>
          <c:order val="1"/>
          <c:tx>
            <c:strRef>
              <c:f>Sheet2!$H$3</c:f>
              <c:strCache>
                <c:ptCount val="1"/>
                <c:pt idx="0">
                  <c:v>Predicted</c:v>
                </c:pt>
              </c:strCache>
            </c:strRef>
          </c:tx>
          <c:spPr>
            <a:ln w="38100" cap="rnd">
              <a:solidFill>
                <a:schemeClr val="accent2"/>
              </a:solidFill>
              <a:prstDash val="sysDash"/>
              <a:round/>
            </a:ln>
            <a:effectLst/>
          </c:spPr>
          <c:marker>
            <c:symbol val="none"/>
          </c:marker>
          <c:cat>
            <c:numRef>
              <c:f>Sheet2!$F$4:$F$27</c:f>
              <c:numCache>
                <c:formatCode>General</c:formatCode>
                <c:ptCount val="24"/>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numCache>
            </c:numRef>
          </c:cat>
          <c:val>
            <c:numRef>
              <c:f>Sheet2!$H$4:$H$27</c:f>
              <c:numCache>
                <c:formatCode>0.00</c:formatCode>
                <c:ptCount val="24"/>
                <c:pt idx="0">
                  <c:v>0.9060446172952652</c:v>
                </c:pt>
                <c:pt idx="1">
                  <c:v>0.89745867252349854</c:v>
                </c:pt>
                <c:pt idx="2">
                  <c:v>0.89159579575061798</c:v>
                </c:pt>
                <c:pt idx="3">
                  <c:v>0.88730023801326752</c:v>
                </c:pt>
                <c:pt idx="4">
                  <c:v>0.89799051731824875</c:v>
                </c:pt>
                <c:pt idx="5">
                  <c:v>0.94854064285755157</c:v>
                </c:pt>
                <c:pt idx="6">
                  <c:v>1.0367721021175385</c:v>
                </c:pt>
                <c:pt idx="7">
                  <c:v>1.0698822736740112</c:v>
                </c:pt>
                <c:pt idx="8">
                  <c:v>1.1005956083536148</c:v>
                </c:pt>
                <c:pt idx="9">
                  <c:v>1.1223921328783035</c:v>
                </c:pt>
                <c:pt idx="10">
                  <c:v>1.1337892860174179</c:v>
                </c:pt>
                <c:pt idx="11">
                  <c:v>1.1386473625898361</c:v>
                </c:pt>
                <c:pt idx="12">
                  <c:v>1.1322612017393112</c:v>
                </c:pt>
                <c:pt idx="13">
                  <c:v>1.1341715902090073</c:v>
                </c:pt>
                <c:pt idx="14">
                  <c:v>1.1283546388149261</c:v>
                </c:pt>
                <c:pt idx="15">
                  <c:v>1.1199021488428116</c:v>
                </c:pt>
                <c:pt idx="16">
                  <c:v>1.1065589189529419</c:v>
                </c:pt>
                <c:pt idx="17">
                  <c:v>1.0855112820863724</c:v>
                </c:pt>
                <c:pt idx="18">
                  <c:v>1.0570817887783051</c:v>
                </c:pt>
                <c:pt idx="19">
                  <c:v>1.0480282157659531</c:v>
                </c:pt>
                <c:pt idx="20">
                  <c:v>1.0412891507148743</c:v>
                </c:pt>
                <c:pt idx="21">
                  <c:v>1.0284306854009628</c:v>
                </c:pt>
                <c:pt idx="22">
                  <c:v>0.99294251948595047</c:v>
                </c:pt>
                <c:pt idx="23">
                  <c:v>0.93853534758090973</c:v>
                </c:pt>
              </c:numCache>
            </c:numRef>
          </c:val>
          <c:smooth val="0"/>
        </c:ser>
        <c:dLbls>
          <c:showLegendKey val="0"/>
          <c:showVal val="0"/>
          <c:showCatName val="0"/>
          <c:showSerName val="0"/>
          <c:showPercent val="0"/>
          <c:showBubbleSize val="0"/>
        </c:dLbls>
        <c:smooth val="0"/>
        <c:axId val="304916096"/>
        <c:axId val="304912568"/>
      </c:lineChart>
      <c:catAx>
        <c:axId val="30491609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4912568"/>
        <c:crosses val="autoZero"/>
        <c:auto val="1"/>
        <c:lblAlgn val="ctr"/>
        <c:lblOffset val="100"/>
        <c:noMultiLvlLbl val="0"/>
      </c:catAx>
      <c:valAx>
        <c:axId val="3049125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(MW)</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04916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13"/>
          <c:order val="13"/>
          <c:tx>
            <c:strRef>
              <c:f>Data!$O$2</c:f>
              <c:strCache>
                <c:ptCount val="1"/>
                <c:pt idx="0">
                  <c:v>Event Hours</c:v>
                </c:pt>
              </c:strCache>
            </c:strRef>
          </c:tx>
          <c:spPr>
            <a:solidFill>
              <a:schemeClr val="accent1">
                <a:lumMod val="20000"/>
                <a:lumOff val="80000"/>
              </a:schemeClr>
            </a:solidFill>
            <a:ln>
              <a:noFill/>
            </a:ln>
            <a:effectLst/>
          </c:spPr>
          <c:val>
            <c:numRef>
              <c:f>Data!$O$3:$O$26</c:f>
              <c:numCache>
                <c:formatCode>General</c:formatCode>
                <c:ptCount val="24"/>
                <c:pt idx="12" formatCode="0.0">
                  <c:v>60</c:v>
                </c:pt>
                <c:pt idx="13" formatCode="0.0">
                  <c:v>60</c:v>
                </c:pt>
                <c:pt idx="14" formatCode="0.0">
                  <c:v>60</c:v>
                </c:pt>
                <c:pt idx="15" formatCode="0.0">
                  <c:v>60</c:v>
                </c:pt>
                <c:pt idx="16" formatCode="0.0">
                  <c:v>60</c:v>
                </c:pt>
                <c:pt idx="17" formatCode="0.0">
                  <c:v>60</c:v>
                </c:pt>
                <c:pt idx="18" formatCode="0.0">
                  <c:v>60</c:v>
                </c:pt>
                <c:pt idx="19" formatCode="0.0">
                  <c:v>60</c:v>
                </c:pt>
              </c:numCache>
            </c:numRef>
          </c:val>
        </c:ser>
        <c:dLbls>
          <c:showLegendKey val="0"/>
          <c:showVal val="0"/>
          <c:showCatName val="0"/>
          <c:showSerName val="0"/>
          <c:showPercent val="0"/>
          <c:showBubbleSize val="0"/>
        </c:dLbls>
        <c:axId val="434627816"/>
        <c:axId val="434626640"/>
      </c:areaChart>
      <c:lineChart>
        <c:grouping val="standard"/>
        <c:varyColors val="0"/>
        <c:ser>
          <c:idx val="0"/>
          <c:order val="0"/>
          <c:tx>
            <c:strRef>
              <c:f>Data!$B$2</c:f>
              <c:strCache>
                <c:ptCount val="1"/>
                <c:pt idx="0">
                  <c:v>5/14/2014</c:v>
                </c:pt>
              </c:strCache>
            </c:strRef>
          </c:tx>
          <c:spPr>
            <a:ln w="28575" cap="rnd">
              <a:solidFill>
                <a:schemeClr val="accent1"/>
              </a:solidFill>
              <a:round/>
            </a:ln>
            <a:effectLst/>
          </c:spPr>
          <c:marker>
            <c:symbol val="none"/>
          </c:marker>
          <c:val>
            <c:numRef>
              <c:f>Data!$B$3:$B$26</c:f>
              <c:numCache>
                <c:formatCode>0.0</c:formatCode>
                <c:ptCount val="24"/>
                <c:pt idx="0">
                  <c:v>0.4287241</c:v>
                </c:pt>
                <c:pt idx="1">
                  <c:v>0.10325479999999999</c:v>
                </c:pt>
                <c:pt idx="2">
                  <c:v>-7.0550299999999996E-2</c:v>
                </c:pt>
                <c:pt idx="3">
                  <c:v>0.1400527</c:v>
                </c:pt>
                <c:pt idx="4">
                  <c:v>0.156802</c:v>
                </c:pt>
                <c:pt idx="5">
                  <c:v>-0.17979200000000001</c:v>
                </c:pt>
                <c:pt idx="6">
                  <c:v>0.18001030000000001</c:v>
                </c:pt>
                <c:pt idx="7">
                  <c:v>0.19244729999999999</c:v>
                </c:pt>
                <c:pt idx="8">
                  <c:v>0.2148127</c:v>
                </c:pt>
                <c:pt idx="9">
                  <c:v>0.16098609999999999</c:v>
                </c:pt>
                <c:pt idx="10">
                  <c:v>0.31363049999999998</c:v>
                </c:pt>
                <c:pt idx="11">
                  <c:v>2.1349420000000001</c:v>
                </c:pt>
                <c:pt idx="12">
                  <c:v>7.5631180000000002</c:v>
                </c:pt>
                <c:pt idx="13">
                  <c:v>6.4627109999999997</c:v>
                </c:pt>
                <c:pt idx="14">
                  <c:v>6.0875409999999999</c:v>
                </c:pt>
                <c:pt idx="15">
                  <c:v>6.116339</c:v>
                </c:pt>
                <c:pt idx="16">
                  <c:v>4.4796420000000001</c:v>
                </c:pt>
                <c:pt idx="17">
                  <c:v>3.9318399999999998</c:v>
                </c:pt>
                <c:pt idx="18">
                  <c:v>3.9210430000000001</c:v>
                </c:pt>
                <c:pt idx="19">
                  <c:v>4.0494700000000003</c:v>
                </c:pt>
                <c:pt idx="20">
                  <c:v>2.5590600000000001</c:v>
                </c:pt>
                <c:pt idx="21">
                  <c:v>1.057436</c:v>
                </c:pt>
                <c:pt idx="22">
                  <c:v>1.6327929999999999</c:v>
                </c:pt>
                <c:pt idx="23">
                  <c:v>1.4415690000000001</c:v>
                </c:pt>
              </c:numCache>
            </c:numRef>
          </c:val>
          <c:smooth val="0"/>
        </c:ser>
        <c:ser>
          <c:idx val="1"/>
          <c:order val="1"/>
          <c:tx>
            <c:strRef>
              <c:f>Data!$C$2</c:f>
              <c:strCache>
                <c:ptCount val="1"/>
                <c:pt idx="0">
                  <c:v>6/30/2014</c:v>
                </c:pt>
              </c:strCache>
            </c:strRef>
          </c:tx>
          <c:spPr>
            <a:ln w="28575" cap="rnd">
              <a:solidFill>
                <a:schemeClr val="accent2"/>
              </a:solidFill>
              <a:round/>
            </a:ln>
            <a:effectLst/>
          </c:spPr>
          <c:marker>
            <c:symbol val="none"/>
          </c:marker>
          <c:val>
            <c:numRef>
              <c:f>Data!$C$3:$C$26</c:f>
              <c:numCache>
                <c:formatCode>0.0</c:formatCode>
                <c:ptCount val="24"/>
                <c:pt idx="0">
                  <c:v>-3.7939829999999999</c:v>
                </c:pt>
                <c:pt idx="1">
                  <c:v>-3.4078020000000002</c:v>
                </c:pt>
                <c:pt idx="2">
                  <c:v>-2.6668059999999998</c:v>
                </c:pt>
                <c:pt idx="3">
                  <c:v>-2.7847759999999999</c:v>
                </c:pt>
                <c:pt idx="4">
                  <c:v>-2.288853</c:v>
                </c:pt>
                <c:pt idx="5">
                  <c:v>-1.2410019999999999</c:v>
                </c:pt>
                <c:pt idx="6">
                  <c:v>0.93002209999999996</c:v>
                </c:pt>
                <c:pt idx="7">
                  <c:v>0.60985319999999998</c:v>
                </c:pt>
                <c:pt idx="8">
                  <c:v>7.1405630000000002</c:v>
                </c:pt>
                <c:pt idx="9">
                  <c:v>8.3022530000000003</c:v>
                </c:pt>
                <c:pt idx="10">
                  <c:v>9.1703480000000006</c:v>
                </c:pt>
                <c:pt idx="11">
                  <c:v>13.96172</c:v>
                </c:pt>
                <c:pt idx="12">
                  <c:v>49.828980000000001</c:v>
                </c:pt>
                <c:pt idx="13">
                  <c:v>53.803780000000003</c:v>
                </c:pt>
                <c:pt idx="14">
                  <c:v>40.602370000000001</c:v>
                </c:pt>
                <c:pt idx="15">
                  <c:v>34.362949999999998</c:v>
                </c:pt>
                <c:pt idx="16">
                  <c:v>36.302700000000002</c:v>
                </c:pt>
                <c:pt idx="17">
                  <c:v>37.82056</c:v>
                </c:pt>
                <c:pt idx="18">
                  <c:v>35.479550000000003</c:v>
                </c:pt>
                <c:pt idx="19">
                  <c:v>28.600549999999998</c:v>
                </c:pt>
                <c:pt idx="20">
                  <c:v>18.859690000000001</c:v>
                </c:pt>
                <c:pt idx="21">
                  <c:v>8.2608169999999994</c:v>
                </c:pt>
                <c:pt idx="22">
                  <c:v>3.4504280000000001</c:v>
                </c:pt>
                <c:pt idx="23">
                  <c:v>2.6946650000000001</c:v>
                </c:pt>
              </c:numCache>
            </c:numRef>
          </c:val>
          <c:smooth val="0"/>
        </c:ser>
        <c:ser>
          <c:idx val="2"/>
          <c:order val="2"/>
          <c:tx>
            <c:strRef>
              <c:f>Data!$D$2</c:f>
              <c:strCache>
                <c:ptCount val="1"/>
                <c:pt idx="0">
                  <c:v>7/7/2014</c:v>
                </c:pt>
              </c:strCache>
            </c:strRef>
          </c:tx>
          <c:spPr>
            <a:ln w="28575" cap="rnd">
              <a:solidFill>
                <a:schemeClr val="accent3"/>
              </a:solidFill>
              <a:round/>
            </a:ln>
            <a:effectLst/>
          </c:spPr>
          <c:marker>
            <c:symbol val="none"/>
          </c:marker>
          <c:val>
            <c:numRef>
              <c:f>Data!$D$3:$D$26</c:f>
              <c:numCache>
                <c:formatCode>0.0</c:formatCode>
                <c:ptCount val="24"/>
                <c:pt idx="0">
                  <c:v>-0.53962589999999999</c:v>
                </c:pt>
                <c:pt idx="1">
                  <c:v>-0.98904420000000004</c:v>
                </c:pt>
                <c:pt idx="2">
                  <c:v>-0.49932349999999998</c:v>
                </c:pt>
                <c:pt idx="3">
                  <c:v>0.85701839999999996</c:v>
                </c:pt>
                <c:pt idx="4">
                  <c:v>0.57297560000000003</c:v>
                </c:pt>
                <c:pt idx="5">
                  <c:v>0.92187520000000001</c:v>
                </c:pt>
                <c:pt idx="6">
                  <c:v>1.070805</c:v>
                </c:pt>
                <c:pt idx="7">
                  <c:v>1.23176E-2</c:v>
                </c:pt>
                <c:pt idx="8">
                  <c:v>-0.70483799999999996</c:v>
                </c:pt>
                <c:pt idx="9">
                  <c:v>-1.642477</c:v>
                </c:pt>
                <c:pt idx="10">
                  <c:v>0.39022649999999998</c:v>
                </c:pt>
                <c:pt idx="11">
                  <c:v>2.9225699999999999</c:v>
                </c:pt>
                <c:pt idx="12">
                  <c:v>16.821650000000002</c:v>
                </c:pt>
                <c:pt idx="13">
                  <c:v>16.230920000000001</c:v>
                </c:pt>
                <c:pt idx="14">
                  <c:v>16.89432</c:v>
                </c:pt>
                <c:pt idx="15">
                  <c:v>17.2544</c:v>
                </c:pt>
                <c:pt idx="16">
                  <c:v>16.69211</c:v>
                </c:pt>
                <c:pt idx="17">
                  <c:v>16.768910000000002</c:v>
                </c:pt>
                <c:pt idx="18">
                  <c:v>12.566940000000001</c:v>
                </c:pt>
                <c:pt idx="19">
                  <c:v>12.151149999999999</c:v>
                </c:pt>
                <c:pt idx="20">
                  <c:v>4.1737700000000002</c:v>
                </c:pt>
                <c:pt idx="21">
                  <c:v>1.203878</c:v>
                </c:pt>
                <c:pt idx="22">
                  <c:v>2.3669060000000002</c:v>
                </c:pt>
                <c:pt idx="23">
                  <c:v>2.260392</c:v>
                </c:pt>
              </c:numCache>
            </c:numRef>
          </c:val>
          <c:smooth val="0"/>
        </c:ser>
        <c:ser>
          <c:idx val="3"/>
          <c:order val="3"/>
          <c:tx>
            <c:strRef>
              <c:f>Data!$E$2</c:f>
              <c:strCache>
                <c:ptCount val="1"/>
                <c:pt idx="0">
                  <c:v>7/14/2014</c:v>
                </c:pt>
              </c:strCache>
            </c:strRef>
          </c:tx>
          <c:spPr>
            <a:ln w="28575" cap="rnd">
              <a:solidFill>
                <a:schemeClr val="accent4"/>
              </a:solidFill>
              <a:round/>
            </a:ln>
            <a:effectLst/>
          </c:spPr>
          <c:marker>
            <c:symbol val="none"/>
          </c:marker>
          <c:val>
            <c:numRef>
              <c:f>Data!$E$3:$E$26</c:f>
              <c:numCache>
                <c:formatCode>0.0</c:formatCode>
                <c:ptCount val="24"/>
                <c:pt idx="0">
                  <c:v>3.4199470000000001</c:v>
                </c:pt>
                <c:pt idx="1">
                  <c:v>1.026993</c:v>
                </c:pt>
                <c:pt idx="2">
                  <c:v>0.2514518</c:v>
                </c:pt>
                <c:pt idx="3">
                  <c:v>-6.6356700000000005E-2</c:v>
                </c:pt>
                <c:pt idx="4">
                  <c:v>-1.1762649999999999</c:v>
                </c:pt>
                <c:pt idx="5">
                  <c:v>-1.5542469999999999</c:v>
                </c:pt>
                <c:pt idx="6">
                  <c:v>-0.98975619999999997</c:v>
                </c:pt>
                <c:pt idx="7">
                  <c:v>-0.88761889999999999</c:v>
                </c:pt>
                <c:pt idx="8">
                  <c:v>-0.64537710000000004</c:v>
                </c:pt>
                <c:pt idx="9">
                  <c:v>-1.340473</c:v>
                </c:pt>
                <c:pt idx="10">
                  <c:v>-1.9447859999999999</c:v>
                </c:pt>
                <c:pt idx="11">
                  <c:v>2.43526</c:v>
                </c:pt>
                <c:pt idx="12">
                  <c:v>7.9587870000000001</c:v>
                </c:pt>
                <c:pt idx="13">
                  <c:v>9.4411159999999992</c:v>
                </c:pt>
                <c:pt idx="14">
                  <c:v>9.3421509999999994</c:v>
                </c:pt>
                <c:pt idx="15">
                  <c:v>9.2818620000000003</c:v>
                </c:pt>
                <c:pt idx="16">
                  <c:v>9.6133290000000002</c:v>
                </c:pt>
                <c:pt idx="17">
                  <c:v>4.1365429999999996</c:v>
                </c:pt>
                <c:pt idx="18">
                  <c:v>2.6147429999999998</c:v>
                </c:pt>
                <c:pt idx="19">
                  <c:v>2.398377</c:v>
                </c:pt>
                <c:pt idx="20">
                  <c:v>1.6641980000000001</c:v>
                </c:pt>
                <c:pt idx="21">
                  <c:v>0.81593479999999996</c:v>
                </c:pt>
                <c:pt idx="22">
                  <c:v>-0.60867780000000005</c:v>
                </c:pt>
                <c:pt idx="23">
                  <c:v>-1.2396320000000001</c:v>
                </c:pt>
              </c:numCache>
            </c:numRef>
          </c:val>
          <c:smooth val="0"/>
        </c:ser>
        <c:ser>
          <c:idx val="4"/>
          <c:order val="4"/>
          <c:tx>
            <c:strRef>
              <c:f>Data!$F$2</c:f>
              <c:strCache>
                <c:ptCount val="1"/>
                <c:pt idx="0">
                  <c:v>7/28/2014</c:v>
                </c:pt>
              </c:strCache>
            </c:strRef>
          </c:tx>
          <c:spPr>
            <a:ln w="28575" cap="rnd">
              <a:solidFill>
                <a:schemeClr val="accent5"/>
              </a:solidFill>
              <a:round/>
            </a:ln>
            <a:effectLst/>
          </c:spPr>
          <c:marker>
            <c:symbol val="none"/>
          </c:marker>
          <c:val>
            <c:numRef>
              <c:f>Data!$F$3:$F$26</c:f>
              <c:numCache>
                <c:formatCode>0.0</c:formatCode>
                <c:ptCount val="24"/>
                <c:pt idx="0">
                  <c:v>1.884903</c:v>
                </c:pt>
                <c:pt idx="1">
                  <c:v>0.8811599</c:v>
                </c:pt>
                <c:pt idx="2">
                  <c:v>-0.16319929999999999</c:v>
                </c:pt>
                <c:pt idx="3">
                  <c:v>-0.14865709999999999</c:v>
                </c:pt>
                <c:pt idx="4">
                  <c:v>-0.7651386</c:v>
                </c:pt>
                <c:pt idx="5">
                  <c:v>-1.4567209999999999</c:v>
                </c:pt>
                <c:pt idx="6">
                  <c:v>-1.4899290000000001</c:v>
                </c:pt>
                <c:pt idx="7">
                  <c:v>0.95750519999999995</c:v>
                </c:pt>
                <c:pt idx="8">
                  <c:v>0.25724039999999998</c:v>
                </c:pt>
                <c:pt idx="9">
                  <c:v>-2.6665540000000001</c:v>
                </c:pt>
                <c:pt idx="10">
                  <c:v>1.3174399999999999E-2</c:v>
                </c:pt>
                <c:pt idx="11">
                  <c:v>7.8111980000000001</c:v>
                </c:pt>
                <c:pt idx="12">
                  <c:v>36.599069999999998</c:v>
                </c:pt>
                <c:pt idx="13">
                  <c:v>35.129429999999999</c:v>
                </c:pt>
                <c:pt idx="14">
                  <c:v>31.10004</c:v>
                </c:pt>
                <c:pt idx="15">
                  <c:v>28.95682</c:v>
                </c:pt>
                <c:pt idx="16">
                  <c:v>28.097750000000001</c:v>
                </c:pt>
                <c:pt idx="17">
                  <c:v>26.945170000000001</c:v>
                </c:pt>
                <c:pt idx="18">
                  <c:v>26.633700000000001</c:v>
                </c:pt>
                <c:pt idx="19">
                  <c:v>23.927980000000002</c:v>
                </c:pt>
                <c:pt idx="20">
                  <c:v>16.132190000000001</c:v>
                </c:pt>
                <c:pt idx="21">
                  <c:v>4.0691629999999996</c:v>
                </c:pt>
                <c:pt idx="22">
                  <c:v>4.4777490000000002</c:v>
                </c:pt>
                <c:pt idx="23">
                  <c:v>3.070271</c:v>
                </c:pt>
              </c:numCache>
            </c:numRef>
          </c:val>
          <c:smooth val="0"/>
        </c:ser>
        <c:ser>
          <c:idx val="5"/>
          <c:order val="5"/>
          <c:tx>
            <c:strRef>
              <c:f>Data!$G$2</c:f>
              <c:strCache>
                <c:ptCount val="1"/>
                <c:pt idx="0">
                  <c:v>7/29/2014</c:v>
                </c:pt>
              </c:strCache>
            </c:strRef>
          </c:tx>
          <c:spPr>
            <a:ln w="28575" cap="rnd">
              <a:solidFill>
                <a:schemeClr val="accent6"/>
              </a:solidFill>
              <a:round/>
            </a:ln>
            <a:effectLst/>
          </c:spPr>
          <c:marker>
            <c:symbol val="none"/>
          </c:marker>
          <c:val>
            <c:numRef>
              <c:f>Data!$G$3:$G$26</c:f>
              <c:numCache>
                <c:formatCode>0.0</c:formatCode>
                <c:ptCount val="24"/>
                <c:pt idx="0">
                  <c:v>5.4127390000000002</c:v>
                </c:pt>
                <c:pt idx="1">
                  <c:v>3.0517430000000001</c:v>
                </c:pt>
                <c:pt idx="2">
                  <c:v>2.1222319999999999</c:v>
                </c:pt>
                <c:pt idx="3">
                  <c:v>2.0337779999999999</c:v>
                </c:pt>
                <c:pt idx="4">
                  <c:v>0.51943510000000004</c:v>
                </c:pt>
                <c:pt idx="5">
                  <c:v>-2.2670689999999998</c:v>
                </c:pt>
                <c:pt idx="6">
                  <c:v>-3.2735029999999998</c:v>
                </c:pt>
                <c:pt idx="7">
                  <c:v>-3.1136020000000002</c:v>
                </c:pt>
                <c:pt idx="8">
                  <c:v>-1.7571049999999999</c:v>
                </c:pt>
                <c:pt idx="9">
                  <c:v>-2.4413809999999998</c:v>
                </c:pt>
                <c:pt idx="10">
                  <c:v>-1.2041740000000001</c:v>
                </c:pt>
                <c:pt idx="11">
                  <c:v>6.2743060000000002</c:v>
                </c:pt>
                <c:pt idx="12">
                  <c:v>24.932670000000002</c:v>
                </c:pt>
                <c:pt idx="13">
                  <c:v>26.504580000000001</c:v>
                </c:pt>
                <c:pt idx="14">
                  <c:v>26.31915</c:v>
                </c:pt>
                <c:pt idx="15">
                  <c:v>26.62651</c:v>
                </c:pt>
                <c:pt idx="16">
                  <c:v>22.836220000000001</c:v>
                </c:pt>
                <c:pt idx="17">
                  <c:v>18.268239999999999</c:v>
                </c:pt>
                <c:pt idx="18">
                  <c:v>16.562290000000001</c:v>
                </c:pt>
                <c:pt idx="19">
                  <c:v>16.791519999999998</c:v>
                </c:pt>
                <c:pt idx="20">
                  <c:v>11.696020000000001</c:v>
                </c:pt>
                <c:pt idx="21">
                  <c:v>10.278560000000001</c:v>
                </c:pt>
                <c:pt idx="22">
                  <c:v>9.7956090000000007</c:v>
                </c:pt>
                <c:pt idx="23">
                  <c:v>9.1898129999999991</c:v>
                </c:pt>
              </c:numCache>
            </c:numRef>
          </c:val>
          <c:smooth val="0"/>
        </c:ser>
        <c:ser>
          <c:idx val="6"/>
          <c:order val="6"/>
          <c:tx>
            <c:strRef>
              <c:f>Data!$H$2</c:f>
              <c:strCache>
                <c:ptCount val="1"/>
                <c:pt idx="0">
                  <c:v>7/30/2014</c:v>
                </c:pt>
              </c:strCache>
            </c:strRef>
          </c:tx>
          <c:spPr>
            <a:ln w="28575" cap="rnd">
              <a:solidFill>
                <a:schemeClr val="accent1">
                  <a:lumMod val="60000"/>
                </a:schemeClr>
              </a:solidFill>
              <a:round/>
            </a:ln>
            <a:effectLst/>
          </c:spPr>
          <c:marker>
            <c:symbol val="none"/>
          </c:marker>
          <c:val>
            <c:numRef>
              <c:f>Data!$H$3:$H$26</c:f>
              <c:numCache>
                <c:formatCode>0.0</c:formatCode>
                <c:ptCount val="24"/>
                <c:pt idx="0">
                  <c:v>6.3131810000000002</c:v>
                </c:pt>
                <c:pt idx="1">
                  <c:v>7.4710899999999997E-2</c:v>
                </c:pt>
                <c:pt idx="2">
                  <c:v>-0.53055770000000002</c:v>
                </c:pt>
                <c:pt idx="3">
                  <c:v>0.45926869999999997</c:v>
                </c:pt>
                <c:pt idx="4">
                  <c:v>-0.58042760000000004</c:v>
                </c:pt>
                <c:pt idx="5">
                  <c:v>-1.549166</c:v>
                </c:pt>
                <c:pt idx="6">
                  <c:v>-0.64114360000000004</c:v>
                </c:pt>
                <c:pt idx="7">
                  <c:v>-1.2711520000000001</c:v>
                </c:pt>
                <c:pt idx="8">
                  <c:v>-0.1084241</c:v>
                </c:pt>
                <c:pt idx="9">
                  <c:v>0.1078366</c:v>
                </c:pt>
                <c:pt idx="10">
                  <c:v>0.47798370000000001</c:v>
                </c:pt>
                <c:pt idx="11">
                  <c:v>8.127516</c:v>
                </c:pt>
                <c:pt idx="12">
                  <c:v>22.2805</c:v>
                </c:pt>
                <c:pt idx="13">
                  <c:v>22.840890000000002</c:v>
                </c:pt>
                <c:pt idx="14">
                  <c:v>21.64602</c:v>
                </c:pt>
                <c:pt idx="15">
                  <c:v>26.81786</c:v>
                </c:pt>
                <c:pt idx="16">
                  <c:v>25.757660000000001</c:v>
                </c:pt>
                <c:pt idx="17">
                  <c:v>24.024999999999999</c:v>
                </c:pt>
                <c:pt idx="18">
                  <c:v>24.305150000000001</c:v>
                </c:pt>
                <c:pt idx="19">
                  <c:v>24.12886</c:v>
                </c:pt>
                <c:pt idx="20">
                  <c:v>13.48554</c:v>
                </c:pt>
                <c:pt idx="21">
                  <c:v>6.1422800000000004</c:v>
                </c:pt>
                <c:pt idx="22">
                  <c:v>3.7199529999999998</c:v>
                </c:pt>
                <c:pt idx="23">
                  <c:v>4.5809430000000004</c:v>
                </c:pt>
              </c:numCache>
            </c:numRef>
          </c:val>
          <c:smooth val="0"/>
        </c:ser>
        <c:ser>
          <c:idx val="7"/>
          <c:order val="7"/>
          <c:tx>
            <c:strRef>
              <c:f>Data!$I$2</c:f>
              <c:strCache>
                <c:ptCount val="1"/>
                <c:pt idx="0">
                  <c:v>7/31/2014</c:v>
                </c:pt>
              </c:strCache>
            </c:strRef>
          </c:tx>
          <c:spPr>
            <a:ln w="28575" cap="rnd">
              <a:solidFill>
                <a:schemeClr val="accent2">
                  <a:lumMod val="60000"/>
                </a:schemeClr>
              </a:solidFill>
              <a:round/>
            </a:ln>
            <a:effectLst/>
          </c:spPr>
          <c:marker>
            <c:symbol val="none"/>
          </c:marker>
          <c:val>
            <c:numRef>
              <c:f>Data!$I$3:$I$26</c:f>
              <c:numCache>
                <c:formatCode>0.0</c:formatCode>
                <c:ptCount val="24"/>
                <c:pt idx="0">
                  <c:v>0.47049560000000001</c:v>
                </c:pt>
                <c:pt idx="1">
                  <c:v>-0.85847340000000005</c:v>
                </c:pt>
                <c:pt idx="2">
                  <c:v>-1.6355360000000001</c:v>
                </c:pt>
                <c:pt idx="3">
                  <c:v>-1.4935959999999999</c:v>
                </c:pt>
                <c:pt idx="4">
                  <c:v>-3.3671180000000001</c:v>
                </c:pt>
                <c:pt idx="5">
                  <c:v>-3.323728</c:v>
                </c:pt>
                <c:pt idx="6">
                  <c:v>-1.8413029999999999</c:v>
                </c:pt>
                <c:pt idx="7">
                  <c:v>-0.59034690000000001</c:v>
                </c:pt>
                <c:pt idx="8">
                  <c:v>1.5034350000000001</c:v>
                </c:pt>
                <c:pt idx="9">
                  <c:v>1.8542590000000001</c:v>
                </c:pt>
                <c:pt idx="10">
                  <c:v>0.81183850000000002</c:v>
                </c:pt>
                <c:pt idx="11">
                  <c:v>7.1012040000000001</c:v>
                </c:pt>
                <c:pt idx="12">
                  <c:v>30.91376</c:v>
                </c:pt>
                <c:pt idx="13">
                  <c:v>29.89227</c:v>
                </c:pt>
                <c:pt idx="14">
                  <c:v>24.430409999999998</c:v>
                </c:pt>
                <c:pt idx="15">
                  <c:v>28.9329</c:v>
                </c:pt>
                <c:pt idx="16">
                  <c:v>31.374690000000001</c:v>
                </c:pt>
                <c:pt idx="17">
                  <c:v>23.965669999999999</c:v>
                </c:pt>
                <c:pt idx="18">
                  <c:v>18.095089999999999</c:v>
                </c:pt>
                <c:pt idx="19">
                  <c:v>21.494859999999999</c:v>
                </c:pt>
                <c:pt idx="20">
                  <c:v>16.427409999999998</c:v>
                </c:pt>
                <c:pt idx="21">
                  <c:v>14.35449</c:v>
                </c:pt>
                <c:pt idx="22">
                  <c:v>11.765639999999999</c:v>
                </c:pt>
                <c:pt idx="23">
                  <c:v>8.4827510000000004</c:v>
                </c:pt>
              </c:numCache>
            </c:numRef>
          </c:val>
          <c:smooth val="0"/>
        </c:ser>
        <c:ser>
          <c:idx val="8"/>
          <c:order val="8"/>
          <c:tx>
            <c:strRef>
              <c:f>Data!$J$2</c:f>
              <c:strCache>
                <c:ptCount val="1"/>
                <c:pt idx="0">
                  <c:v>8/1/2014</c:v>
                </c:pt>
              </c:strCache>
            </c:strRef>
          </c:tx>
          <c:spPr>
            <a:ln w="28575" cap="rnd">
              <a:solidFill>
                <a:schemeClr val="accent3">
                  <a:lumMod val="60000"/>
                </a:schemeClr>
              </a:solidFill>
              <a:round/>
            </a:ln>
            <a:effectLst/>
          </c:spPr>
          <c:marker>
            <c:symbol val="none"/>
          </c:marker>
          <c:val>
            <c:numRef>
              <c:f>Data!$J$3:$J$26</c:f>
              <c:numCache>
                <c:formatCode>0.0</c:formatCode>
                <c:ptCount val="24"/>
                <c:pt idx="0">
                  <c:v>0.67737910000000001</c:v>
                </c:pt>
                <c:pt idx="1">
                  <c:v>-1.0420849999999999</c:v>
                </c:pt>
                <c:pt idx="2">
                  <c:v>-2.7252420000000002</c:v>
                </c:pt>
                <c:pt idx="3">
                  <c:v>-1.621534</c:v>
                </c:pt>
                <c:pt idx="4">
                  <c:v>-3.0506820000000001</c:v>
                </c:pt>
                <c:pt idx="5">
                  <c:v>-2.1164360000000002</c:v>
                </c:pt>
                <c:pt idx="6">
                  <c:v>-0.85050590000000004</c:v>
                </c:pt>
                <c:pt idx="7">
                  <c:v>4.4231020000000001</c:v>
                </c:pt>
                <c:pt idx="8">
                  <c:v>6.50082</c:v>
                </c:pt>
                <c:pt idx="9">
                  <c:v>8.8070330000000006</c:v>
                </c:pt>
                <c:pt idx="10">
                  <c:v>8.6623300000000008</c:v>
                </c:pt>
                <c:pt idx="11">
                  <c:v>11.973850000000001</c:v>
                </c:pt>
                <c:pt idx="12">
                  <c:v>24.083500000000001</c:v>
                </c:pt>
                <c:pt idx="13">
                  <c:v>23.414059999999999</c:v>
                </c:pt>
                <c:pt idx="14">
                  <c:v>24.451709999999999</c:v>
                </c:pt>
                <c:pt idx="15">
                  <c:v>23.579239999999999</c:v>
                </c:pt>
                <c:pt idx="16">
                  <c:v>22.00488</c:v>
                </c:pt>
                <c:pt idx="17">
                  <c:v>21.839110000000002</c:v>
                </c:pt>
                <c:pt idx="18">
                  <c:v>19.15606</c:v>
                </c:pt>
                <c:pt idx="19">
                  <c:v>15.02774</c:v>
                </c:pt>
                <c:pt idx="20">
                  <c:v>7.3962659999999998</c:v>
                </c:pt>
                <c:pt idx="21">
                  <c:v>6.3146979999999999</c:v>
                </c:pt>
                <c:pt idx="22">
                  <c:v>7.8601619999999999</c:v>
                </c:pt>
                <c:pt idx="23">
                  <c:v>10.855399999999999</c:v>
                </c:pt>
              </c:numCache>
            </c:numRef>
          </c:val>
          <c:smooth val="0"/>
        </c:ser>
        <c:ser>
          <c:idx val="9"/>
          <c:order val="9"/>
          <c:tx>
            <c:strRef>
              <c:f>Data!$K$2</c:f>
              <c:strCache>
                <c:ptCount val="1"/>
                <c:pt idx="0">
                  <c:v>9/12/2014</c:v>
                </c:pt>
              </c:strCache>
            </c:strRef>
          </c:tx>
          <c:spPr>
            <a:ln w="28575" cap="rnd">
              <a:solidFill>
                <a:schemeClr val="accent4">
                  <a:lumMod val="60000"/>
                </a:schemeClr>
              </a:solidFill>
              <a:round/>
            </a:ln>
            <a:effectLst/>
          </c:spPr>
          <c:marker>
            <c:symbol val="none"/>
          </c:marker>
          <c:val>
            <c:numRef>
              <c:f>Data!$K$3:$K$26</c:f>
              <c:numCache>
                <c:formatCode>0.0</c:formatCode>
                <c:ptCount val="24"/>
                <c:pt idx="0">
                  <c:v>0.20509910000000001</c:v>
                </c:pt>
                <c:pt idx="1">
                  <c:v>-0.19268959999999999</c:v>
                </c:pt>
                <c:pt idx="2">
                  <c:v>-0.22379579999999999</c:v>
                </c:pt>
                <c:pt idx="3">
                  <c:v>-0.57748790000000005</c:v>
                </c:pt>
                <c:pt idx="4">
                  <c:v>-0.38002760000000002</c:v>
                </c:pt>
                <c:pt idx="5">
                  <c:v>-0.20964160000000001</c:v>
                </c:pt>
                <c:pt idx="6">
                  <c:v>0.82269510000000001</c:v>
                </c:pt>
                <c:pt idx="7">
                  <c:v>-0.54929459999999997</c:v>
                </c:pt>
                <c:pt idx="8">
                  <c:v>-0.43647720000000001</c:v>
                </c:pt>
                <c:pt idx="9">
                  <c:v>-0.33646769999999998</c:v>
                </c:pt>
                <c:pt idx="10">
                  <c:v>-0.549315</c:v>
                </c:pt>
                <c:pt idx="11">
                  <c:v>1.0959350000000001</c:v>
                </c:pt>
                <c:pt idx="12">
                  <c:v>2.2993890000000001</c:v>
                </c:pt>
                <c:pt idx="13">
                  <c:v>2.1810689999999999</c:v>
                </c:pt>
                <c:pt idx="14">
                  <c:v>2.5019390000000001</c:v>
                </c:pt>
                <c:pt idx="15">
                  <c:v>2.5395940000000001</c:v>
                </c:pt>
                <c:pt idx="16">
                  <c:v>2.8820199999999998</c:v>
                </c:pt>
                <c:pt idx="17">
                  <c:v>2.4162720000000002</c:v>
                </c:pt>
                <c:pt idx="18">
                  <c:v>1.9708889999999999</c:v>
                </c:pt>
                <c:pt idx="19">
                  <c:v>2.0282279999999999</c:v>
                </c:pt>
                <c:pt idx="20">
                  <c:v>-0.43187710000000001</c:v>
                </c:pt>
                <c:pt idx="21">
                  <c:v>-1.510008</c:v>
                </c:pt>
                <c:pt idx="22">
                  <c:v>-1.1967779999999999</c:v>
                </c:pt>
                <c:pt idx="23">
                  <c:v>-1.500926</c:v>
                </c:pt>
              </c:numCache>
            </c:numRef>
          </c:val>
          <c:smooth val="0"/>
        </c:ser>
        <c:ser>
          <c:idx val="10"/>
          <c:order val="10"/>
          <c:tx>
            <c:strRef>
              <c:f>Data!$L$2</c:f>
              <c:strCache>
                <c:ptCount val="1"/>
                <c:pt idx="0">
                  <c:v>9/15/2014</c:v>
                </c:pt>
              </c:strCache>
            </c:strRef>
          </c:tx>
          <c:spPr>
            <a:ln w="28575" cap="rnd">
              <a:solidFill>
                <a:schemeClr val="accent5">
                  <a:lumMod val="60000"/>
                </a:schemeClr>
              </a:solidFill>
              <a:round/>
            </a:ln>
            <a:effectLst/>
          </c:spPr>
          <c:marker>
            <c:symbol val="none"/>
          </c:marker>
          <c:val>
            <c:numRef>
              <c:f>Data!$L$3:$L$26</c:f>
              <c:numCache>
                <c:formatCode>0.0</c:formatCode>
                <c:ptCount val="24"/>
                <c:pt idx="0">
                  <c:v>1.543229</c:v>
                </c:pt>
                <c:pt idx="1">
                  <c:v>-0.30036429999999997</c:v>
                </c:pt>
                <c:pt idx="2">
                  <c:v>1.8654500000000001</c:v>
                </c:pt>
                <c:pt idx="3">
                  <c:v>-0.26178089999999998</c:v>
                </c:pt>
                <c:pt idx="4">
                  <c:v>-0.66057379999999999</c:v>
                </c:pt>
                <c:pt idx="5">
                  <c:v>-1.5446759999999999</c:v>
                </c:pt>
                <c:pt idx="6">
                  <c:v>-2.730353</c:v>
                </c:pt>
                <c:pt idx="7">
                  <c:v>-3.3259400000000001</c:v>
                </c:pt>
                <c:pt idx="8">
                  <c:v>-2.0939809999999999</c:v>
                </c:pt>
                <c:pt idx="9">
                  <c:v>-2.9250759999999998</c:v>
                </c:pt>
                <c:pt idx="10">
                  <c:v>-2.071933</c:v>
                </c:pt>
                <c:pt idx="11">
                  <c:v>5.7544839999999997</c:v>
                </c:pt>
                <c:pt idx="12">
                  <c:v>20.123799999999999</c:v>
                </c:pt>
                <c:pt idx="13">
                  <c:v>20.18439</c:v>
                </c:pt>
                <c:pt idx="14">
                  <c:v>19.698509999999999</c:v>
                </c:pt>
                <c:pt idx="15">
                  <c:v>19.24099</c:v>
                </c:pt>
                <c:pt idx="16">
                  <c:v>20.072610000000001</c:v>
                </c:pt>
                <c:pt idx="17">
                  <c:v>20.141639999999999</c:v>
                </c:pt>
                <c:pt idx="18">
                  <c:v>17.967549999999999</c:v>
                </c:pt>
                <c:pt idx="19">
                  <c:v>17.46856</c:v>
                </c:pt>
                <c:pt idx="20">
                  <c:v>10.330360000000001</c:v>
                </c:pt>
                <c:pt idx="21">
                  <c:v>0.99978469999999997</c:v>
                </c:pt>
                <c:pt idx="22">
                  <c:v>0.48914210000000002</c:v>
                </c:pt>
                <c:pt idx="23">
                  <c:v>5.2040259999999998</c:v>
                </c:pt>
              </c:numCache>
            </c:numRef>
          </c:val>
          <c:smooth val="0"/>
        </c:ser>
        <c:ser>
          <c:idx val="11"/>
          <c:order val="11"/>
          <c:tx>
            <c:strRef>
              <c:f>Data!$M$2</c:f>
              <c:strCache>
                <c:ptCount val="1"/>
                <c:pt idx="0">
                  <c:v>9/16/2014</c:v>
                </c:pt>
              </c:strCache>
            </c:strRef>
          </c:tx>
          <c:spPr>
            <a:ln w="28575" cap="rnd">
              <a:solidFill>
                <a:schemeClr val="accent6">
                  <a:lumMod val="60000"/>
                </a:schemeClr>
              </a:solidFill>
              <a:round/>
            </a:ln>
            <a:effectLst/>
          </c:spPr>
          <c:marker>
            <c:symbol val="none"/>
          </c:marker>
          <c:val>
            <c:numRef>
              <c:f>Data!$M$3:$M$26</c:f>
              <c:numCache>
                <c:formatCode>0.0</c:formatCode>
                <c:ptCount val="24"/>
                <c:pt idx="0">
                  <c:v>-0.37206139999999999</c:v>
                </c:pt>
                <c:pt idx="1">
                  <c:v>1.2167859999999999</c:v>
                </c:pt>
                <c:pt idx="2">
                  <c:v>1.9332339999999999</c:v>
                </c:pt>
                <c:pt idx="3">
                  <c:v>1.4190560000000001</c:v>
                </c:pt>
                <c:pt idx="4">
                  <c:v>-0.8241366</c:v>
                </c:pt>
                <c:pt idx="5">
                  <c:v>-0.41432190000000002</c:v>
                </c:pt>
                <c:pt idx="6">
                  <c:v>7.6521599999999995E-2</c:v>
                </c:pt>
                <c:pt idx="7">
                  <c:v>1.492499</c:v>
                </c:pt>
                <c:pt idx="8">
                  <c:v>11.756159999999999</c:v>
                </c:pt>
                <c:pt idx="9">
                  <c:v>17.001760000000001</c:v>
                </c:pt>
                <c:pt idx="10">
                  <c:v>17.022790000000001</c:v>
                </c:pt>
                <c:pt idx="11">
                  <c:v>20.1068</c:v>
                </c:pt>
                <c:pt idx="12">
                  <c:v>26.992509999999999</c:v>
                </c:pt>
                <c:pt idx="13">
                  <c:v>27.723369999999999</c:v>
                </c:pt>
                <c:pt idx="14">
                  <c:v>29.897089999999999</c:v>
                </c:pt>
                <c:pt idx="15">
                  <c:v>30.6861</c:v>
                </c:pt>
                <c:pt idx="16">
                  <c:v>30.830269999999999</c:v>
                </c:pt>
                <c:pt idx="17">
                  <c:v>27.512129999999999</c:v>
                </c:pt>
                <c:pt idx="18">
                  <c:v>22.90071</c:v>
                </c:pt>
                <c:pt idx="19">
                  <c:v>17.923310000000001</c:v>
                </c:pt>
                <c:pt idx="20">
                  <c:v>8.627027</c:v>
                </c:pt>
                <c:pt idx="21">
                  <c:v>6.8558159999999999</c:v>
                </c:pt>
                <c:pt idx="22">
                  <c:v>2.8078110000000001</c:v>
                </c:pt>
                <c:pt idx="23">
                  <c:v>3.5354589999999999</c:v>
                </c:pt>
              </c:numCache>
            </c:numRef>
          </c:val>
          <c:smooth val="0"/>
        </c:ser>
        <c:ser>
          <c:idx val="12"/>
          <c:order val="12"/>
          <c:tx>
            <c:strRef>
              <c:f>Data!$N$2</c:f>
              <c:strCache>
                <c:ptCount val="1"/>
                <c:pt idx="0">
                  <c:v>Average Event Day</c:v>
                </c:pt>
              </c:strCache>
            </c:strRef>
          </c:tx>
          <c:spPr>
            <a:ln w="50800" cap="rnd">
              <a:solidFill>
                <a:schemeClr val="accent1">
                  <a:lumMod val="80000"/>
                  <a:lumOff val="20000"/>
                </a:schemeClr>
              </a:solidFill>
              <a:round/>
            </a:ln>
            <a:effectLst/>
          </c:spPr>
          <c:marker>
            <c:symbol val="none"/>
          </c:marker>
          <c:val>
            <c:numRef>
              <c:f>Data!$N$3:$N$26</c:f>
              <c:numCache>
                <c:formatCode>0.0</c:formatCode>
                <c:ptCount val="24"/>
                <c:pt idx="0">
                  <c:v>1.288473</c:v>
                </c:pt>
                <c:pt idx="1">
                  <c:v>-0.1525966</c:v>
                </c:pt>
                <c:pt idx="2">
                  <c:v>-0.25552770000000002</c:v>
                </c:pt>
                <c:pt idx="3">
                  <c:v>-0.17124700000000001</c:v>
                </c:pt>
                <c:pt idx="4">
                  <c:v>-1.1605019999999999</c:v>
                </c:pt>
                <c:pt idx="5">
                  <c:v>-1.4434720000000001</c:v>
                </c:pt>
                <c:pt idx="6">
                  <c:v>-0.97215430000000003</c:v>
                </c:pt>
                <c:pt idx="7">
                  <c:v>-8.9529300000000006E-2</c:v>
                </c:pt>
                <c:pt idx="8">
                  <c:v>2.4993189999999998</c:v>
                </c:pt>
                <c:pt idx="9">
                  <c:v>2.9330720000000001</c:v>
                </c:pt>
                <c:pt idx="10">
                  <c:v>3.6969539999999999</c:v>
                </c:pt>
                <c:pt idx="11">
                  <c:v>9.3370709999999999</c:v>
                </c:pt>
                <c:pt idx="12">
                  <c:v>28.064050000000002</c:v>
                </c:pt>
                <c:pt idx="13">
                  <c:v>28.413740000000001</c:v>
                </c:pt>
                <c:pt idx="14">
                  <c:v>26.11551</c:v>
                </c:pt>
                <c:pt idx="15">
                  <c:v>26.27308</c:v>
                </c:pt>
                <c:pt idx="16">
                  <c:v>25.99654</c:v>
                </c:pt>
                <c:pt idx="17">
                  <c:v>24.14293</c:v>
                </c:pt>
                <c:pt idx="18">
                  <c:v>21.518560000000001</c:v>
                </c:pt>
                <c:pt idx="19">
                  <c:v>19.723839999999999</c:v>
                </c:pt>
                <c:pt idx="20">
                  <c:v>11.90314</c:v>
                </c:pt>
                <c:pt idx="21">
                  <c:v>6.4977200000000002</c:v>
                </c:pt>
                <c:pt idx="22">
                  <c:v>5.1925999999999997</c:v>
                </c:pt>
                <c:pt idx="23">
                  <c:v>5.5415239999999999</c:v>
                </c:pt>
              </c:numCache>
            </c:numRef>
          </c:val>
          <c:smooth val="0"/>
        </c:ser>
        <c:dLbls>
          <c:showLegendKey val="0"/>
          <c:showVal val="0"/>
          <c:showCatName val="0"/>
          <c:showSerName val="0"/>
          <c:showPercent val="0"/>
          <c:showBubbleSize val="0"/>
        </c:dLbls>
        <c:marker val="1"/>
        <c:smooth val="0"/>
        <c:axId val="434627816"/>
        <c:axId val="434626640"/>
      </c:lineChart>
      <c:catAx>
        <c:axId val="43462781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6640"/>
        <c:crosses val="autoZero"/>
        <c:auto val="1"/>
        <c:lblAlgn val="ctr"/>
        <c:lblOffset val="100"/>
        <c:noMultiLvlLbl val="0"/>
      </c:catAx>
      <c:valAx>
        <c:axId val="434626640"/>
        <c:scaling>
          <c:orientation val="minMax"/>
          <c:max val="6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7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3"/>
          <c:tx>
            <c:strRef>
              <c:f>Data!$AK$2</c:f>
              <c:strCache>
                <c:ptCount val="1"/>
                <c:pt idx="0">
                  <c:v>Event Hours</c:v>
                </c:pt>
              </c:strCache>
            </c:strRef>
          </c:tx>
          <c:spPr>
            <a:solidFill>
              <a:schemeClr val="accent1">
                <a:lumMod val="20000"/>
                <a:lumOff val="80000"/>
              </a:schemeClr>
            </a:solidFill>
            <a:ln>
              <a:noFill/>
            </a:ln>
            <a:effectLst/>
          </c:spPr>
          <c:val>
            <c:numRef>
              <c:f>Data!$AK$3:$AK$26</c:f>
              <c:numCache>
                <c:formatCode>General</c:formatCode>
                <c:ptCount val="24"/>
                <c:pt idx="12" formatCode="#,##0">
                  <c:v>1000</c:v>
                </c:pt>
                <c:pt idx="13" formatCode="#,##0">
                  <c:v>1000</c:v>
                </c:pt>
                <c:pt idx="14" formatCode="#,##0">
                  <c:v>1000</c:v>
                </c:pt>
                <c:pt idx="15" formatCode="#,##0">
                  <c:v>1000</c:v>
                </c:pt>
                <c:pt idx="16" formatCode="#,##0">
                  <c:v>1000</c:v>
                </c:pt>
                <c:pt idx="17" formatCode="#,##0">
                  <c:v>1000</c:v>
                </c:pt>
                <c:pt idx="18" formatCode="#,##0">
                  <c:v>1000</c:v>
                </c:pt>
                <c:pt idx="19" formatCode="#,##0">
                  <c:v>1000</c:v>
                </c:pt>
              </c:numCache>
            </c:numRef>
          </c:val>
        </c:ser>
        <c:dLbls>
          <c:showLegendKey val="0"/>
          <c:showVal val="0"/>
          <c:showCatName val="0"/>
          <c:showSerName val="0"/>
          <c:showPercent val="0"/>
          <c:showBubbleSize val="0"/>
        </c:dLbls>
        <c:axId val="434628992"/>
        <c:axId val="434629384"/>
      </c:areaChart>
      <c:lineChart>
        <c:grouping val="standard"/>
        <c:varyColors val="0"/>
        <c:ser>
          <c:idx val="0"/>
          <c:order val="0"/>
          <c:tx>
            <c:strRef>
              <c:f>Data!$AH$2</c:f>
              <c:strCache>
                <c:ptCount val="1"/>
                <c:pt idx="0">
                  <c:v>Reference</c:v>
                </c:pt>
              </c:strCache>
            </c:strRef>
          </c:tx>
          <c:spPr>
            <a:ln w="34925" cap="rnd">
              <a:solidFill>
                <a:schemeClr val="accent1"/>
              </a:solidFill>
              <a:round/>
            </a:ln>
            <a:effectLst/>
          </c:spPr>
          <c:marker>
            <c:symbol val="none"/>
          </c:marker>
          <c:val>
            <c:numRef>
              <c:f>Data!$AH$3:$AH$26</c:f>
              <c:numCache>
                <c:formatCode>#,##0</c:formatCode>
                <c:ptCount val="24"/>
                <c:pt idx="0">
                  <c:v>641.35059999999999</c:v>
                </c:pt>
                <c:pt idx="1">
                  <c:v>638.92970000000003</c:v>
                </c:pt>
                <c:pt idx="2">
                  <c:v>632.35810000000004</c:v>
                </c:pt>
                <c:pt idx="3">
                  <c:v>629.95910000000003</c:v>
                </c:pt>
                <c:pt idx="4">
                  <c:v>649.54190000000006</c:v>
                </c:pt>
                <c:pt idx="5">
                  <c:v>690.63660000000004</c:v>
                </c:pt>
                <c:pt idx="6">
                  <c:v>748.34019999999998</c:v>
                </c:pt>
                <c:pt idx="7">
                  <c:v>781.13430000000005</c:v>
                </c:pt>
                <c:pt idx="8">
                  <c:v>808.16380000000004</c:v>
                </c:pt>
                <c:pt idx="9">
                  <c:v>830.07349999999997</c:v>
                </c:pt>
                <c:pt idx="10">
                  <c:v>836.56190000000004</c:v>
                </c:pt>
                <c:pt idx="11">
                  <c:v>846.7758</c:v>
                </c:pt>
                <c:pt idx="12">
                  <c:v>841.49929999999995</c:v>
                </c:pt>
                <c:pt idx="13">
                  <c:v>846.28420000000006</c:v>
                </c:pt>
                <c:pt idx="14">
                  <c:v>841.54880000000003</c:v>
                </c:pt>
                <c:pt idx="15">
                  <c:v>832.03300000000002</c:v>
                </c:pt>
                <c:pt idx="16">
                  <c:v>820.19209999999998</c:v>
                </c:pt>
                <c:pt idx="17">
                  <c:v>802.64380000000006</c:v>
                </c:pt>
                <c:pt idx="18">
                  <c:v>770.05330000000004</c:v>
                </c:pt>
                <c:pt idx="19">
                  <c:v>754.25360000000001</c:v>
                </c:pt>
                <c:pt idx="20">
                  <c:v>748.11350000000004</c:v>
                </c:pt>
                <c:pt idx="21">
                  <c:v>733.14499999999998</c:v>
                </c:pt>
                <c:pt idx="22">
                  <c:v>707.72739999999999</c:v>
                </c:pt>
                <c:pt idx="23">
                  <c:v>675.93150000000003</c:v>
                </c:pt>
              </c:numCache>
            </c:numRef>
          </c:val>
          <c:smooth val="0"/>
        </c:ser>
        <c:ser>
          <c:idx val="1"/>
          <c:order val="1"/>
          <c:tx>
            <c:strRef>
              <c:f>Data!$AI$2</c:f>
              <c:strCache>
                <c:ptCount val="1"/>
                <c:pt idx="0">
                  <c:v>Observed</c:v>
                </c:pt>
              </c:strCache>
            </c:strRef>
          </c:tx>
          <c:spPr>
            <a:ln w="34925" cap="rnd">
              <a:solidFill>
                <a:schemeClr val="accent2"/>
              </a:solidFill>
              <a:round/>
            </a:ln>
            <a:effectLst/>
          </c:spPr>
          <c:marker>
            <c:symbol val="none"/>
          </c:marker>
          <c:val>
            <c:numRef>
              <c:f>Data!$AI$3:$AI$26</c:f>
              <c:numCache>
                <c:formatCode>#,##0</c:formatCode>
                <c:ptCount val="24"/>
                <c:pt idx="0">
                  <c:v>617.31702999999993</c:v>
                </c:pt>
                <c:pt idx="1">
                  <c:v>615.44037000000003</c:v>
                </c:pt>
                <c:pt idx="2">
                  <c:v>615.58180000000004</c:v>
                </c:pt>
                <c:pt idx="3">
                  <c:v>634.88137500000005</c:v>
                </c:pt>
                <c:pt idx="4">
                  <c:v>661.10899000000006</c:v>
                </c:pt>
                <c:pt idx="5">
                  <c:v>700.6370300000001</c:v>
                </c:pt>
                <c:pt idx="6">
                  <c:v>749.95354399999997</c:v>
                </c:pt>
                <c:pt idx="7">
                  <c:v>768.65624000000003</c:v>
                </c:pt>
                <c:pt idx="8">
                  <c:v>796.09574000000009</c:v>
                </c:pt>
                <c:pt idx="9">
                  <c:v>815.14729</c:v>
                </c:pt>
                <c:pt idx="10">
                  <c:v>816.00621999999998</c:v>
                </c:pt>
                <c:pt idx="11">
                  <c:v>783.61483999999996</c:v>
                </c:pt>
                <c:pt idx="12">
                  <c:v>734.08039999999994</c:v>
                </c:pt>
                <c:pt idx="13">
                  <c:v>734.68640000000005</c:v>
                </c:pt>
                <c:pt idx="14">
                  <c:v>736.66090000000008</c:v>
                </c:pt>
                <c:pt idx="15">
                  <c:v>722.61260000000004</c:v>
                </c:pt>
                <c:pt idx="16">
                  <c:v>708.09230000000002</c:v>
                </c:pt>
                <c:pt idx="17">
                  <c:v>692.38960000000009</c:v>
                </c:pt>
                <c:pt idx="18">
                  <c:v>665.46910000000003</c:v>
                </c:pt>
                <c:pt idx="19">
                  <c:v>660.98271999999997</c:v>
                </c:pt>
                <c:pt idx="20">
                  <c:v>694.40350000000001</c:v>
                </c:pt>
                <c:pt idx="21">
                  <c:v>700.4787</c:v>
                </c:pt>
                <c:pt idx="22">
                  <c:v>681.88291000000004</c:v>
                </c:pt>
                <c:pt idx="23">
                  <c:v>663.72762999999998</c:v>
                </c:pt>
              </c:numCache>
            </c:numRef>
          </c:val>
          <c:smooth val="0"/>
        </c:ser>
        <c:dLbls>
          <c:showLegendKey val="0"/>
          <c:showVal val="0"/>
          <c:showCatName val="0"/>
          <c:showSerName val="0"/>
          <c:showPercent val="0"/>
          <c:showBubbleSize val="0"/>
        </c:dLbls>
        <c:marker val="1"/>
        <c:smooth val="0"/>
        <c:axId val="434628992"/>
        <c:axId val="434629384"/>
      </c:lineChart>
      <c:lineChart>
        <c:grouping val="standard"/>
        <c:varyColors val="0"/>
        <c:ser>
          <c:idx val="2"/>
          <c:order val="2"/>
          <c:tx>
            <c:strRef>
              <c:f>Data!$AJ$2</c:f>
              <c:strCache>
                <c:ptCount val="1"/>
                <c:pt idx="0">
                  <c:v>Load Impact</c:v>
                </c:pt>
              </c:strCache>
            </c:strRef>
          </c:tx>
          <c:spPr>
            <a:ln w="34925" cap="rnd">
              <a:solidFill>
                <a:srgbClr val="92D050"/>
              </a:solidFill>
              <a:round/>
            </a:ln>
            <a:effectLst/>
          </c:spPr>
          <c:marker>
            <c:symbol val="diamond"/>
            <c:size val="6"/>
            <c:spPr>
              <a:solidFill>
                <a:srgbClr val="92D050"/>
              </a:solidFill>
              <a:ln w="12700">
                <a:solidFill>
                  <a:srgbClr val="92D050"/>
                </a:solidFill>
              </a:ln>
              <a:effectLst/>
            </c:spPr>
          </c:marker>
          <c:val>
            <c:numRef>
              <c:f>Data!$AJ$3:$AJ$26</c:f>
              <c:numCache>
                <c:formatCode>#,##0</c:formatCode>
                <c:ptCount val="24"/>
                <c:pt idx="0">
                  <c:v>24.033570000000001</c:v>
                </c:pt>
                <c:pt idx="1">
                  <c:v>23.489329999999999</c:v>
                </c:pt>
                <c:pt idx="2">
                  <c:v>16.776299999999999</c:v>
                </c:pt>
                <c:pt idx="3">
                  <c:v>-4.922275</c:v>
                </c:pt>
                <c:pt idx="4">
                  <c:v>-11.56709</c:v>
                </c:pt>
                <c:pt idx="5">
                  <c:v>-10.00043</c:v>
                </c:pt>
                <c:pt idx="6">
                  <c:v>-1.6133439999999999</c:v>
                </c:pt>
                <c:pt idx="7">
                  <c:v>12.478059999999999</c:v>
                </c:pt>
                <c:pt idx="8">
                  <c:v>12.068059999999999</c:v>
                </c:pt>
                <c:pt idx="9">
                  <c:v>14.926209999999999</c:v>
                </c:pt>
                <c:pt idx="10">
                  <c:v>20.555679999999999</c:v>
                </c:pt>
                <c:pt idx="11">
                  <c:v>63.160960000000003</c:v>
                </c:pt>
                <c:pt idx="12">
                  <c:v>107.41889999999999</c:v>
                </c:pt>
                <c:pt idx="13">
                  <c:v>111.59780000000001</c:v>
                </c:pt>
                <c:pt idx="14">
                  <c:v>104.8879</c:v>
                </c:pt>
                <c:pt idx="15">
                  <c:v>109.4204</c:v>
                </c:pt>
                <c:pt idx="16">
                  <c:v>112.0998</c:v>
                </c:pt>
                <c:pt idx="17">
                  <c:v>110.2542</c:v>
                </c:pt>
                <c:pt idx="18">
                  <c:v>104.5842</c:v>
                </c:pt>
                <c:pt idx="19">
                  <c:v>93.270880000000005</c:v>
                </c:pt>
                <c:pt idx="20">
                  <c:v>53.71</c:v>
                </c:pt>
                <c:pt idx="21">
                  <c:v>32.6663</c:v>
                </c:pt>
                <c:pt idx="22">
                  <c:v>25.84449</c:v>
                </c:pt>
                <c:pt idx="23">
                  <c:v>12.20387</c:v>
                </c:pt>
              </c:numCache>
            </c:numRef>
          </c:val>
          <c:smooth val="0"/>
        </c:ser>
        <c:dLbls>
          <c:showLegendKey val="0"/>
          <c:showVal val="0"/>
          <c:showCatName val="0"/>
          <c:showSerName val="0"/>
          <c:showPercent val="0"/>
          <c:showBubbleSize val="0"/>
        </c:dLbls>
        <c:marker val="1"/>
        <c:smooth val="0"/>
        <c:axId val="434624288"/>
        <c:axId val="434615664"/>
      </c:lineChart>
      <c:catAx>
        <c:axId val="434628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9384"/>
        <c:crosses val="autoZero"/>
        <c:auto val="1"/>
        <c:lblAlgn val="ctr"/>
        <c:lblOffset val="100"/>
        <c:noMultiLvlLbl val="0"/>
      </c:catAx>
      <c:valAx>
        <c:axId val="434629384"/>
        <c:scaling>
          <c:orientation val="minMax"/>
          <c:max val="1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8992"/>
        <c:crosses val="autoZero"/>
        <c:crossBetween val="between"/>
      </c:valAx>
      <c:valAx>
        <c:axId val="434615664"/>
        <c:scaling>
          <c:orientation val="minMax"/>
          <c:max val="160"/>
          <c:min val="-4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4288"/>
        <c:crosses val="max"/>
        <c:crossBetween val="between"/>
      </c:valAx>
      <c:catAx>
        <c:axId val="434624288"/>
        <c:scaling>
          <c:orientation val="minMax"/>
        </c:scaling>
        <c:delete val="1"/>
        <c:axPos val="b"/>
        <c:majorTickMark val="out"/>
        <c:minorTickMark val="none"/>
        <c:tickLblPos val="nextTo"/>
        <c:crossAx val="4346156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8"/>
          <c:order val="8"/>
          <c:tx>
            <c:strRef>
              <c:f>Data!$AV$2</c:f>
              <c:strCache>
                <c:ptCount val="1"/>
                <c:pt idx="0">
                  <c:v>Event Hours</c:v>
                </c:pt>
              </c:strCache>
            </c:strRef>
          </c:tx>
          <c:spPr>
            <a:solidFill>
              <a:schemeClr val="accent1">
                <a:lumMod val="20000"/>
                <a:lumOff val="80000"/>
              </a:schemeClr>
            </a:solidFill>
            <a:ln>
              <a:noFill/>
            </a:ln>
            <a:effectLst/>
          </c:spPr>
          <c:val>
            <c:numRef>
              <c:f>Data!$AV$3:$AV$26</c:f>
              <c:numCache>
                <c:formatCode>General</c:formatCode>
                <c:ptCount val="24"/>
                <c:pt idx="12" formatCode="#,##0">
                  <c:v>175</c:v>
                </c:pt>
                <c:pt idx="13" formatCode="#,##0">
                  <c:v>175</c:v>
                </c:pt>
                <c:pt idx="14" formatCode="#,##0">
                  <c:v>175</c:v>
                </c:pt>
                <c:pt idx="15" formatCode="#,##0">
                  <c:v>175</c:v>
                </c:pt>
                <c:pt idx="16" formatCode="#,##0">
                  <c:v>175</c:v>
                </c:pt>
                <c:pt idx="17" formatCode="#,##0">
                  <c:v>175</c:v>
                </c:pt>
                <c:pt idx="18" formatCode="#,##0">
                  <c:v>175</c:v>
                </c:pt>
                <c:pt idx="19" formatCode="#,##0">
                  <c:v>175</c:v>
                </c:pt>
              </c:numCache>
            </c:numRef>
          </c:val>
        </c:ser>
        <c:dLbls>
          <c:showLegendKey val="0"/>
          <c:showVal val="0"/>
          <c:showCatName val="0"/>
          <c:showSerName val="0"/>
          <c:showPercent val="0"/>
          <c:showBubbleSize val="0"/>
        </c:dLbls>
        <c:axId val="434623112"/>
        <c:axId val="434625856"/>
      </c:areaChart>
      <c:lineChart>
        <c:grouping val="standard"/>
        <c:varyColors val="0"/>
        <c:ser>
          <c:idx val="0"/>
          <c:order val="0"/>
          <c:tx>
            <c:strRef>
              <c:f>Data!$AN$2</c:f>
              <c:strCache>
                <c:ptCount val="1"/>
                <c:pt idx="0">
                  <c:v>7/14/2014</c:v>
                </c:pt>
              </c:strCache>
            </c:strRef>
          </c:tx>
          <c:spPr>
            <a:ln w="28575" cap="rnd">
              <a:solidFill>
                <a:schemeClr val="accent1"/>
              </a:solidFill>
              <a:round/>
            </a:ln>
            <a:effectLst/>
          </c:spPr>
          <c:marker>
            <c:symbol val="none"/>
          </c:marker>
          <c:val>
            <c:numRef>
              <c:f>Data!$AN$3:$AN$26</c:f>
              <c:numCache>
                <c:formatCode>0.0</c:formatCode>
                <c:ptCount val="24"/>
                <c:pt idx="0">
                  <c:v>10.44092</c:v>
                </c:pt>
                <c:pt idx="1">
                  <c:v>7.1760409999999997</c:v>
                </c:pt>
                <c:pt idx="2">
                  <c:v>4.0180769999999999</c:v>
                </c:pt>
                <c:pt idx="3">
                  <c:v>-0.11592520000000001</c:v>
                </c:pt>
                <c:pt idx="4">
                  <c:v>-0.64286889999999997</c:v>
                </c:pt>
                <c:pt idx="5">
                  <c:v>6.8093070000000004</c:v>
                </c:pt>
                <c:pt idx="6">
                  <c:v>-20.473710000000001</c:v>
                </c:pt>
                <c:pt idx="7">
                  <c:v>0.90912630000000005</c:v>
                </c:pt>
                <c:pt idx="8">
                  <c:v>-5.663303</c:v>
                </c:pt>
                <c:pt idx="9">
                  <c:v>3.8101579999999999</c:v>
                </c:pt>
                <c:pt idx="10">
                  <c:v>1.495884</c:v>
                </c:pt>
                <c:pt idx="11">
                  <c:v>85.883240000000001</c:v>
                </c:pt>
                <c:pt idx="12">
                  <c:v>149.96379999999999</c:v>
                </c:pt>
                <c:pt idx="13">
                  <c:v>156.41069999999999</c:v>
                </c:pt>
                <c:pt idx="14">
                  <c:v>145.9992</c:v>
                </c:pt>
                <c:pt idx="15">
                  <c:v>148.64619999999999</c:v>
                </c:pt>
                <c:pt idx="16">
                  <c:v>140.1558</c:v>
                </c:pt>
                <c:pt idx="17">
                  <c:v>140.32159999999999</c:v>
                </c:pt>
                <c:pt idx="18">
                  <c:v>134.57660000000001</c:v>
                </c:pt>
                <c:pt idx="19">
                  <c:v>127.0985</c:v>
                </c:pt>
                <c:pt idx="20">
                  <c:v>63.860149999999997</c:v>
                </c:pt>
                <c:pt idx="21">
                  <c:v>42.931910000000002</c:v>
                </c:pt>
                <c:pt idx="22">
                  <c:v>24.048819999999999</c:v>
                </c:pt>
                <c:pt idx="23">
                  <c:v>36.1128</c:v>
                </c:pt>
              </c:numCache>
            </c:numRef>
          </c:val>
          <c:smooth val="0"/>
        </c:ser>
        <c:ser>
          <c:idx val="1"/>
          <c:order val="1"/>
          <c:tx>
            <c:strRef>
              <c:f>Data!$AO$2</c:f>
              <c:strCache>
                <c:ptCount val="1"/>
                <c:pt idx="0">
                  <c:v>9/8/2014</c:v>
                </c:pt>
              </c:strCache>
            </c:strRef>
          </c:tx>
          <c:spPr>
            <a:ln w="28575" cap="rnd">
              <a:solidFill>
                <a:schemeClr val="accent2"/>
              </a:solidFill>
              <a:round/>
            </a:ln>
            <a:effectLst/>
          </c:spPr>
          <c:marker>
            <c:symbol val="none"/>
          </c:marker>
          <c:val>
            <c:numRef>
              <c:f>Data!$AO$3:$AO$26</c:f>
              <c:numCache>
                <c:formatCode>0.0</c:formatCode>
                <c:ptCount val="24"/>
                <c:pt idx="0">
                  <c:v>50.052379999999999</c:v>
                </c:pt>
                <c:pt idx="1">
                  <c:v>49.469250000000002</c:v>
                </c:pt>
                <c:pt idx="2">
                  <c:v>36.522269999999999</c:v>
                </c:pt>
                <c:pt idx="3">
                  <c:v>-5.3368060000000002</c:v>
                </c:pt>
                <c:pt idx="4">
                  <c:v>-9.4582339999999991</c:v>
                </c:pt>
                <c:pt idx="5">
                  <c:v>-7.2557749999999999</c:v>
                </c:pt>
                <c:pt idx="6">
                  <c:v>-3.3253550000000001</c:v>
                </c:pt>
                <c:pt idx="7">
                  <c:v>9.3051449999999996</c:v>
                </c:pt>
                <c:pt idx="8">
                  <c:v>10.61622</c:v>
                </c:pt>
                <c:pt idx="9">
                  <c:v>26.402660000000001</c:v>
                </c:pt>
                <c:pt idx="10">
                  <c:v>45.443089999999998</c:v>
                </c:pt>
                <c:pt idx="11">
                  <c:v>77.415790000000001</c:v>
                </c:pt>
                <c:pt idx="12">
                  <c:v>129.17850000000001</c:v>
                </c:pt>
                <c:pt idx="13">
                  <c:v>142.26840000000001</c:v>
                </c:pt>
                <c:pt idx="14">
                  <c:v>131.2116</c:v>
                </c:pt>
                <c:pt idx="15">
                  <c:v>139.81899999999999</c:v>
                </c:pt>
                <c:pt idx="16">
                  <c:v>150.56370000000001</c:v>
                </c:pt>
                <c:pt idx="17">
                  <c:v>155.38829999999999</c:v>
                </c:pt>
                <c:pt idx="18">
                  <c:v>148.42330000000001</c:v>
                </c:pt>
                <c:pt idx="19">
                  <c:v>144.07810000000001</c:v>
                </c:pt>
                <c:pt idx="20">
                  <c:v>72.579729999999998</c:v>
                </c:pt>
                <c:pt idx="21">
                  <c:v>44.590670000000003</c:v>
                </c:pt>
                <c:pt idx="22">
                  <c:v>35.919310000000003</c:v>
                </c:pt>
                <c:pt idx="23">
                  <c:v>8.1475190000000008</c:v>
                </c:pt>
              </c:numCache>
            </c:numRef>
          </c:val>
          <c:smooth val="0"/>
        </c:ser>
        <c:ser>
          <c:idx val="2"/>
          <c:order val="2"/>
          <c:tx>
            <c:strRef>
              <c:f>Data!$AP$2</c:f>
              <c:strCache>
                <c:ptCount val="1"/>
                <c:pt idx="0">
                  <c:v>9/10/2014</c:v>
                </c:pt>
              </c:strCache>
            </c:strRef>
          </c:tx>
          <c:spPr>
            <a:ln w="28575" cap="rnd">
              <a:solidFill>
                <a:schemeClr val="accent3"/>
              </a:solidFill>
              <a:round/>
            </a:ln>
            <a:effectLst/>
          </c:spPr>
          <c:marker>
            <c:symbol val="none"/>
          </c:marker>
          <c:val>
            <c:numRef>
              <c:f>Data!$AP$3:$AP$26</c:f>
              <c:numCache>
                <c:formatCode>0.0</c:formatCode>
                <c:ptCount val="24"/>
                <c:pt idx="0">
                  <c:v>19.768170000000001</c:v>
                </c:pt>
                <c:pt idx="1">
                  <c:v>19.28585</c:v>
                </c:pt>
                <c:pt idx="2">
                  <c:v>20.053550000000001</c:v>
                </c:pt>
                <c:pt idx="3">
                  <c:v>-5.8727450000000001</c:v>
                </c:pt>
                <c:pt idx="4">
                  <c:v>-38.128770000000003</c:v>
                </c:pt>
                <c:pt idx="5">
                  <c:v>-38.343940000000003</c:v>
                </c:pt>
                <c:pt idx="6">
                  <c:v>-0.92903760000000002</c:v>
                </c:pt>
                <c:pt idx="7">
                  <c:v>29.450060000000001</c:v>
                </c:pt>
                <c:pt idx="8">
                  <c:v>5.4009840000000002</c:v>
                </c:pt>
                <c:pt idx="9">
                  <c:v>14.063969999999999</c:v>
                </c:pt>
                <c:pt idx="10">
                  <c:v>6.455076</c:v>
                </c:pt>
                <c:pt idx="11">
                  <c:v>48.525309999999998</c:v>
                </c:pt>
                <c:pt idx="12">
                  <c:v>97.508319999999998</c:v>
                </c:pt>
                <c:pt idx="13">
                  <c:v>92.537989999999994</c:v>
                </c:pt>
                <c:pt idx="14">
                  <c:v>95.107830000000007</c:v>
                </c:pt>
                <c:pt idx="15">
                  <c:v>91.333340000000007</c:v>
                </c:pt>
                <c:pt idx="16">
                  <c:v>96.984539999999996</c:v>
                </c:pt>
                <c:pt idx="17">
                  <c:v>90.409180000000006</c:v>
                </c:pt>
                <c:pt idx="18">
                  <c:v>84.881709999999998</c:v>
                </c:pt>
                <c:pt idx="19">
                  <c:v>80.159469999999999</c:v>
                </c:pt>
                <c:pt idx="20">
                  <c:v>29.754819999999999</c:v>
                </c:pt>
                <c:pt idx="21">
                  <c:v>24.495010000000001</c:v>
                </c:pt>
                <c:pt idx="22">
                  <c:v>14.75775</c:v>
                </c:pt>
                <c:pt idx="23">
                  <c:v>-9.1598839999999999</c:v>
                </c:pt>
              </c:numCache>
            </c:numRef>
          </c:val>
          <c:smooth val="0"/>
        </c:ser>
        <c:ser>
          <c:idx val="3"/>
          <c:order val="3"/>
          <c:tx>
            <c:strRef>
              <c:f>Data!$AQ$2</c:f>
              <c:strCache>
                <c:ptCount val="1"/>
                <c:pt idx="0">
                  <c:v>9/15/2014</c:v>
                </c:pt>
              </c:strCache>
            </c:strRef>
          </c:tx>
          <c:spPr>
            <a:ln w="28575" cap="rnd">
              <a:solidFill>
                <a:schemeClr val="accent4"/>
              </a:solidFill>
              <a:round/>
            </a:ln>
            <a:effectLst/>
          </c:spPr>
          <c:marker>
            <c:symbol val="none"/>
          </c:marker>
          <c:val>
            <c:numRef>
              <c:f>Data!$AQ$3:$AQ$26</c:f>
              <c:numCache>
                <c:formatCode>0.0</c:formatCode>
                <c:ptCount val="24"/>
                <c:pt idx="0">
                  <c:v>33.701129999999999</c:v>
                </c:pt>
                <c:pt idx="1">
                  <c:v>33.233960000000003</c:v>
                </c:pt>
                <c:pt idx="2">
                  <c:v>23.375070000000001</c:v>
                </c:pt>
                <c:pt idx="3">
                  <c:v>-24.512139999999999</c:v>
                </c:pt>
                <c:pt idx="4">
                  <c:v>-23.939340000000001</c:v>
                </c:pt>
                <c:pt idx="5">
                  <c:v>-32.072450000000003</c:v>
                </c:pt>
                <c:pt idx="6">
                  <c:v>-0.65950350000000002</c:v>
                </c:pt>
                <c:pt idx="7">
                  <c:v>23.337679999999999</c:v>
                </c:pt>
                <c:pt idx="8">
                  <c:v>23.27037</c:v>
                </c:pt>
                <c:pt idx="9">
                  <c:v>33.563740000000003</c:v>
                </c:pt>
                <c:pt idx="10">
                  <c:v>81.111090000000004</c:v>
                </c:pt>
                <c:pt idx="11">
                  <c:v>112.1626</c:v>
                </c:pt>
                <c:pt idx="12">
                  <c:v>137.42179999999999</c:v>
                </c:pt>
                <c:pt idx="13">
                  <c:v>146.1311</c:v>
                </c:pt>
                <c:pt idx="14">
                  <c:v>125.9447</c:v>
                </c:pt>
                <c:pt idx="15">
                  <c:v>137.39230000000001</c:v>
                </c:pt>
                <c:pt idx="16">
                  <c:v>147.5849</c:v>
                </c:pt>
                <c:pt idx="17">
                  <c:v>140.5326</c:v>
                </c:pt>
                <c:pt idx="18">
                  <c:v>134.7329</c:v>
                </c:pt>
                <c:pt idx="19">
                  <c:v>97.166210000000007</c:v>
                </c:pt>
                <c:pt idx="20">
                  <c:v>90.163600000000002</c:v>
                </c:pt>
                <c:pt idx="21">
                  <c:v>29.970400000000001</c:v>
                </c:pt>
                <c:pt idx="22">
                  <c:v>16.661549999999998</c:v>
                </c:pt>
                <c:pt idx="23">
                  <c:v>-1.0074529999999999</c:v>
                </c:pt>
              </c:numCache>
            </c:numRef>
          </c:val>
          <c:smooth val="0"/>
        </c:ser>
        <c:ser>
          <c:idx val="4"/>
          <c:order val="4"/>
          <c:tx>
            <c:strRef>
              <c:f>Data!$AR$2</c:f>
              <c:strCache>
                <c:ptCount val="1"/>
                <c:pt idx="0">
                  <c:v>9/17/2014</c:v>
                </c:pt>
              </c:strCache>
            </c:strRef>
          </c:tx>
          <c:spPr>
            <a:ln w="28575" cap="rnd">
              <a:solidFill>
                <a:schemeClr val="accent5"/>
              </a:solidFill>
              <a:round/>
            </a:ln>
            <a:effectLst/>
          </c:spPr>
          <c:marker>
            <c:symbol val="none"/>
          </c:marker>
          <c:val>
            <c:numRef>
              <c:f>Data!$AR$3:$AR$26</c:f>
              <c:numCache>
                <c:formatCode>0.0</c:formatCode>
                <c:ptCount val="24"/>
                <c:pt idx="0">
                  <c:v>34.367789999999999</c:v>
                </c:pt>
                <c:pt idx="1">
                  <c:v>33.52749</c:v>
                </c:pt>
                <c:pt idx="2">
                  <c:v>13.08132</c:v>
                </c:pt>
                <c:pt idx="3">
                  <c:v>-19.59076</c:v>
                </c:pt>
                <c:pt idx="4">
                  <c:v>-37.311259999999997</c:v>
                </c:pt>
                <c:pt idx="5">
                  <c:v>-32.3307</c:v>
                </c:pt>
                <c:pt idx="6">
                  <c:v>-18.459779999999999</c:v>
                </c:pt>
                <c:pt idx="7">
                  <c:v>-3.3342450000000001</c:v>
                </c:pt>
                <c:pt idx="8">
                  <c:v>29.448689999999999</c:v>
                </c:pt>
                <c:pt idx="9">
                  <c:v>7.8785170000000004</c:v>
                </c:pt>
                <c:pt idx="10">
                  <c:v>-8.9378589999999996</c:v>
                </c:pt>
                <c:pt idx="11">
                  <c:v>66.979590000000002</c:v>
                </c:pt>
                <c:pt idx="12">
                  <c:v>104.8785</c:v>
                </c:pt>
                <c:pt idx="13">
                  <c:v>109.4431</c:v>
                </c:pt>
                <c:pt idx="14">
                  <c:v>107.038</c:v>
                </c:pt>
                <c:pt idx="15">
                  <c:v>118.038</c:v>
                </c:pt>
                <c:pt idx="16">
                  <c:v>121.7894</c:v>
                </c:pt>
                <c:pt idx="17">
                  <c:v>117.8511</c:v>
                </c:pt>
                <c:pt idx="18">
                  <c:v>109.7199</c:v>
                </c:pt>
                <c:pt idx="19">
                  <c:v>91.661460000000005</c:v>
                </c:pt>
                <c:pt idx="20">
                  <c:v>49.166600000000003</c:v>
                </c:pt>
                <c:pt idx="21">
                  <c:v>38.365130000000001</c:v>
                </c:pt>
                <c:pt idx="22">
                  <c:v>62.252299999999998</c:v>
                </c:pt>
                <c:pt idx="23">
                  <c:v>32.239170000000001</c:v>
                </c:pt>
              </c:numCache>
            </c:numRef>
          </c:val>
          <c:smooth val="0"/>
        </c:ser>
        <c:ser>
          <c:idx val="5"/>
          <c:order val="5"/>
          <c:tx>
            <c:strRef>
              <c:f>Data!$AS$2</c:f>
              <c:strCache>
                <c:ptCount val="1"/>
                <c:pt idx="0">
                  <c:v>10/2/2014</c:v>
                </c:pt>
              </c:strCache>
            </c:strRef>
          </c:tx>
          <c:spPr>
            <a:ln w="28575" cap="rnd">
              <a:solidFill>
                <a:schemeClr val="accent6"/>
              </a:solidFill>
              <a:round/>
            </a:ln>
            <a:effectLst/>
          </c:spPr>
          <c:marker>
            <c:symbol val="none"/>
          </c:marker>
          <c:val>
            <c:numRef>
              <c:f>Data!$AS$3:$AS$26</c:f>
              <c:numCache>
                <c:formatCode>0.0</c:formatCode>
                <c:ptCount val="24"/>
                <c:pt idx="0">
                  <c:v>-0.82722150000000005</c:v>
                </c:pt>
                <c:pt idx="1">
                  <c:v>0.34562969999999998</c:v>
                </c:pt>
                <c:pt idx="2">
                  <c:v>3.5969259999999998</c:v>
                </c:pt>
                <c:pt idx="3">
                  <c:v>6.1462120000000002</c:v>
                </c:pt>
                <c:pt idx="4">
                  <c:v>5.1204369999999999</c:v>
                </c:pt>
                <c:pt idx="5">
                  <c:v>4.7985319999999998</c:v>
                </c:pt>
                <c:pt idx="6">
                  <c:v>3.208771</c:v>
                </c:pt>
                <c:pt idx="7">
                  <c:v>1.7089110000000001</c:v>
                </c:pt>
                <c:pt idx="8">
                  <c:v>-0.1523485</c:v>
                </c:pt>
                <c:pt idx="9">
                  <c:v>-0.44955679999999998</c:v>
                </c:pt>
                <c:pt idx="10">
                  <c:v>2.8216160000000001</c:v>
                </c:pt>
                <c:pt idx="11">
                  <c:v>26.172499999999999</c:v>
                </c:pt>
                <c:pt idx="12">
                  <c:v>81.47157</c:v>
                </c:pt>
                <c:pt idx="13">
                  <c:v>82.744829999999993</c:v>
                </c:pt>
                <c:pt idx="14">
                  <c:v>81.97475</c:v>
                </c:pt>
                <c:pt idx="15">
                  <c:v>78.215549999999993</c:v>
                </c:pt>
                <c:pt idx="16">
                  <c:v>75.488309999999998</c:v>
                </c:pt>
                <c:pt idx="17">
                  <c:v>74.492609999999999</c:v>
                </c:pt>
                <c:pt idx="18">
                  <c:v>67.011529999999993</c:v>
                </c:pt>
                <c:pt idx="19">
                  <c:v>63.668610000000001</c:v>
                </c:pt>
                <c:pt idx="20">
                  <c:v>39.381480000000003</c:v>
                </c:pt>
                <c:pt idx="21">
                  <c:v>31.021139999999999</c:v>
                </c:pt>
                <c:pt idx="22">
                  <c:v>17.938680000000002</c:v>
                </c:pt>
                <c:pt idx="23">
                  <c:v>11.3855</c:v>
                </c:pt>
              </c:numCache>
            </c:numRef>
          </c:val>
          <c:smooth val="0"/>
        </c:ser>
        <c:ser>
          <c:idx val="6"/>
          <c:order val="6"/>
          <c:tx>
            <c:strRef>
              <c:f>Data!$AT$2</c:f>
              <c:strCache>
                <c:ptCount val="1"/>
                <c:pt idx="0">
                  <c:v>10/6/2014</c:v>
                </c:pt>
              </c:strCache>
            </c:strRef>
          </c:tx>
          <c:spPr>
            <a:ln w="28575" cap="rnd">
              <a:solidFill>
                <a:schemeClr val="accent1">
                  <a:lumMod val="60000"/>
                </a:schemeClr>
              </a:solidFill>
              <a:round/>
            </a:ln>
            <a:effectLst/>
          </c:spPr>
          <c:marker>
            <c:symbol val="none"/>
          </c:marker>
          <c:val>
            <c:numRef>
              <c:f>Data!$AT$3:$AT$26</c:f>
              <c:numCache>
                <c:formatCode>0.0</c:formatCode>
                <c:ptCount val="24"/>
                <c:pt idx="0">
                  <c:v>20.73179</c:v>
                </c:pt>
                <c:pt idx="1">
                  <c:v>21.387090000000001</c:v>
                </c:pt>
                <c:pt idx="2">
                  <c:v>16.78689</c:v>
                </c:pt>
                <c:pt idx="3">
                  <c:v>14.82624</c:v>
                </c:pt>
                <c:pt idx="4">
                  <c:v>23.390429999999999</c:v>
                </c:pt>
                <c:pt idx="5">
                  <c:v>28.392019999999999</c:v>
                </c:pt>
                <c:pt idx="6">
                  <c:v>29.345210000000002</c:v>
                </c:pt>
                <c:pt idx="7">
                  <c:v>25.969750000000001</c:v>
                </c:pt>
                <c:pt idx="8">
                  <c:v>21.555820000000001</c:v>
                </c:pt>
                <c:pt idx="9">
                  <c:v>19.213989999999999</c:v>
                </c:pt>
                <c:pt idx="10">
                  <c:v>15.50088</c:v>
                </c:pt>
                <c:pt idx="11">
                  <c:v>24.987680000000001</c:v>
                </c:pt>
                <c:pt idx="12">
                  <c:v>51.50994</c:v>
                </c:pt>
                <c:pt idx="13">
                  <c:v>51.648560000000003</c:v>
                </c:pt>
                <c:pt idx="14">
                  <c:v>46.93929</c:v>
                </c:pt>
                <c:pt idx="15">
                  <c:v>52.498359999999998</c:v>
                </c:pt>
                <c:pt idx="16">
                  <c:v>52.131659999999997</c:v>
                </c:pt>
                <c:pt idx="17">
                  <c:v>52.784190000000002</c:v>
                </c:pt>
                <c:pt idx="18">
                  <c:v>52.743600000000001</c:v>
                </c:pt>
                <c:pt idx="19">
                  <c:v>49.063839999999999</c:v>
                </c:pt>
                <c:pt idx="20">
                  <c:v>31.063580000000002</c:v>
                </c:pt>
                <c:pt idx="21">
                  <c:v>17.289829999999998</c:v>
                </c:pt>
                <c:pt idx="22">
                  <c:v>9.3330319999999993</c:v>
                </c:pt>
                <c:pt idx="23">
                  <c:v>7.7094449999999997</c:v>
                </c:pt>
              </c:numCache>
            </c:numRef>
          </c:val>
          <c:smooth val="0"/>
        </c:ser>
        <c:ser>
          <c:idx val="7"/>
          <c:order val="7"/>
          <c:tx>
            <c:strRef>
              <c:f>Data!$AU$2</c:f>
              <c:strCache>
                <c:ptCount val="1"/>
                <c:pt idx="0">
                  <c:v>Average Event Day</c:v>
                </c:pt>
              </c:strCache>
            </c:strRef>
          </c:tx>
          <c:spPr>
            <a:ln w="50800" cap="rnd">
              <a:solidFill>
                <a:schemeClr val="tx2"/>
              </a:solidFill>
              <a:round/>
            </a:ln>
            <a:effectLst/>
          </c:spPr>
          <c:marker>
            <c:symbol val="none"/>
          </c:marker>
          <c:val>
            <c:numRef>
              <c:f>Data!$AU$3:$AU$26</c:f>
              <c:numCache>
                <c:formatCode>0.0</c:formatCode>
                <c:ptCount val="24"/>
                <c:pt idx="0">
                  <c:v>24.033570000000001</c:v>
                </c:pt>
                <c:pt idx="1">
                  <c:v>23.489329999999999</c:v>
                </c:pt>
                <c:pt idx="2">
                  <c:v>16.776299999999999</c:v>
                </c:pt>
                <c:pt idx="3">
                  <c:v>-4.922275</c:v>
                </c:pt>
                <c:pt idx="4">
                  <c:v>-11.56709</c:v>
                </c:pt>
                <c:pt idx="5">
                  <c:v>-10.00043</c:v>
                </c:pt>
                <c:pt idx="6">
                  <c:v>-1.6133439999999999</c:v>
                </c:pt>
                <c:pt idx="7">
                  <c:v>12.478059999999999</c:v>
                </c:pt>
                <c:pt idx="8">
                  <c:v>12.068059999999999</c:v>
                </c:pt>
                <c:pt idx="9">
                  <c:v>14.926209999999999</c:v>
                </c:pt>
                <c:pt idx="10">
                  <c:v>20.555679999999999</c:v>
                </c:pt>
                <c:pt idx="11">
                  <c:v>63.160960000000003</c:v>
                </c:pt>
                <c:pt idx="12">
                  <c:v>107.41889999999999</c:v>
                </c:pt>
                <c:pt idx="13">
                  <c:v>111.59780000000001</c:v>
                </c:pt>
                <c:pt idx="14">
                  <c:v>104.8879</c:v>
                </c:pt>
                <c:pt idx="15">
                  <c:v>109.4204</c:v>
                </c:pt>
                <c:pt idx="16">
                  <c:v>112.0998</c:v>
                </c:pt>
                <c:pt idx="17">
                  <c:v>110.2542</c:v>
                </c:pt>
                <c:pt idx="18">
                  <c:v>104.5842</c:v>
                </c:pt>
                <c:pt idx="19">
                  <c:v>93.270880000000005</c:v>
                </c:pt>
                <c:pt idx="20">
                  <c:v>53.71</c:v>
                </c:pt>
                <c:pt idx="21">
                  <c:v>32.6663</c:v>
                </c:pt>
                <c:pt idx="22">
                  <c:v>25.84449</c:v>
                </c:pt>
                <c:pt idx="23">
                  <c:v>12.20387</c:v>
                </c:pt>
              </c:numCache>
            </c:numRef>
          </c:val>
          <c:smooth val="0"/>
        </c:ser>
        <c:dLbls>
          <c:showLegendKey val="0"/>
          <c:showVal val="0"/>
          <c:showCatName val="0"/>
          <c:showSerName val="0"/>
          <c:showPercent val="0"/>
          <c:showBubbleSize val="0"/>
        </c:dLbls>
        <c:marker val="1"/>
        <c:smooth val="0"/>
        <c:axId val="434623112"/>
        <c:axId val="434625856"/>
      </c:lineChart>
      <c:catAx>
        <c:axId val="43462311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5856"/>
        <c:crosses val="autoZero"/>
        <c:auto val="1"/>
        <c:lblAlgn val="ctr"/>
        <c:lblOffset val="100"/>
        <c:noMultiLvlLbl val="0"/>
      </c:catAx>
      <c:valAx>
        <c:axId val="434625856"/>
        <c:scaling>
          <c:orientation val="minMax"/>
          <c:max val="175"/>
          <c:min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3112"/>
        <c:crosses val="autoZero"/>
        <c:crossBetween val="between"/>
        <c:majorUnit val="25"/>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Sheet1!$D$1</c:f>
              <c:strCache>
                <c:ptCount val="1"/>
                <c:pt idx="0">
                  <c:v>Enrollment</c:v>
                </c:pt>
              </c:strCache>
            </c:strRef>
          </c:tx>
          <c:spPr>
            <a:ln w="38100" cap="rnd">
              <a:solidFill>
                <a:schemeClr val="accent1"/>
              </a:solidFill>
              <a:round/>
            </a:ln>
            <a:effectLst/>
          </c:spPr>
          <c:marker>
            <c:symbol val="none"/>
          </c:marker>
          <c:cat>
            <c:numRef>
              <c:f>Sheet1!$C$2:$C$37</c:f>
              <c:numCache>
                <c:formatCode>[$-409]mmmm\-yy;@</c:formatCode>
                <c:ptCount val="36"/>
                <c:pt idx="0">
                  <c:v>42005</c:v>
                </c:pt>
                <c:pt idx="1">
                  <c:v>42036</c:v>
                </c:pt>
                <c:pt idx="2">
                  <c:v>42064</c:v>
                </c:pt>
                <c:pt idx="3">
                  <c:v>42095</c:v>
                </c:pt>
                <c:pt idx="4">
                  <c:v>42125</c:v>
                </c:pt>
                <c:pt idx="5">
                  <c:v>42156</c:v>
                </c:pt>
                <c:pt idx="6">
                  <c:v>42186</c:v>
                </c:pt>
                <c:pt idx="7">
                  <c:v>42217</c:v>
                </c:pt>
                <c:pt idx="8">
                  <c:v>42248</c:v>
                </c:pt>
                <c:pt idx="9">
                  <c:v>42278</c:v>
                </c:pt>
                <c:pt idx="10">
                  <c:v>42309</c:v>
                </c:pt>
                <c:pt idx="11">
                  <c:v>42339</c:v>
                </c:pt>
                <c:pt idx="12">
                  <c:v>42370</c:v>
                </c:pt>
                <c:pt idx="13">
                  <c:v>42401</c:v>
                </c:pt>
                <c:pt idx="14">
                  <c:v>42430</c:v>
                </c:pt>
                <c:pt idx="15">
                  <c:v>42461</c:v>
                </c:pt>
                <c:pt idx="16">
                  <c:v>42491</c:v>
                </c:pt>
                <c:pt idx="17">
                  <c:v>42522</c:v>
                </c:pt>
                <c:pt idx="18">
                  <c:v>42552</c:v>
                </c:pt>
                <c:pt idx="19">
                  <c:v>42583</c:v>
                </c:pt>
                <c:pt idx="20">
                  <c:v>42614</c:v>
                </c:pt>
                <c:pt idx="21">
                  <c:v>42644</c:v>
                </c:pt>
                <c:pt idx="22">
                  <c:v>42675</c:v>
                </c:pt>
                <c:pt idx="23">
                  <c:v>42705</c:v>
                </c:pt>
                <c:pt idx="24">
                  <c:v>42736</c:v>
                </c:pt>
                <c:pt idx="25">
                  <c:v>42767</c:v>
                </c:pt>
                <c:pt idx="26">
                  <c:v>42795</c:v>
                </c:pt>
                <c:pt idx="27">
                  <c:v>42826</c:v>
                </c:pt>
                <c:pt idx="28">
                  <c:v>42856</c:v>
                </c:pt>
                <c:pt idx="29">
                  <c:v>42887</c:v>
                </c:pt>
                <c:pt idx="30">
                  <c:v>42917</c:v>
                </c:pt>
                <c:pt idx="31">
                  <c:v>42948</c:v>
                </c:pt>
                <c:pt idx="32">
                  <c:v>42979</c:v>
                </c:pt>
                <c:pt idx="33">
                  <c:v>43009</c:v>
                </c:pt>
                <c:pt idx="34">
                  <c:v>43040</c:v>
                </c:pt>
                <c:pt idx="35">
                  <c:v>43070</c:v>
                </c:pt>
              </c:numCache>
            </c:numRef>
          </c:cat>
          <c:val>
            <c:numRef>
              <c:f>Sheet1!$D$2:$D$37</c:f>
              <c:numCache>
                <c:formatCode>#,##0</c:formatCode>
                <c:ptCount val="36"/>
                <c:pt idx="0">
                  <c:v>908</c:v>
                </c:pt>
                <c:pt idx="1">
                  <c:v>906</c:v>
                </c:pt>
                <c:pt idx="2">
                  <c:v>896</c:v>
                </c:pt>
                <c:pt idx="3">
                  <c:v>768</c:v>
                </c:pt>
                <c:pt idx="4">
                  <c:v>769</c:v>
                </c:pt>
                <c:pt idx="5">
                  <c:v>770</c:v>
                </c:pt>
                <c:pt idx="6">
                  <c:v>771</c:v>
                </c:pt>
                <c:pt idx="7">
                  <c:v>772</c:v>
                </c:pt>
                <c:pt idx="8">
                  <c:v>773</c:v>
                </c:pt>
                <c:pt idx="9">
                  <c:v>774</c:v>
                </c:pt>
                <c:pt idx="10">
                  <c:v>775</c:v>
                </c:pt>
                <c:pt idx="11">
                  <c:v>775</c:v>
                </c:pt>
                <c:pt idx="12">
                  <c:v>775</c:v>
                </c:pt>
                <c:pt idx="13">
                  <c:v>773</c:v>
                </c:pt>
                <c:pt idx="14">
                  <c:v>769</c:v>
                </c:pt>
                <c:pt idx="15">
                  <c:v>721</c:v>
                </c:pt>
                <c:pt idx="16">
                  <c:v>722</c:v>
                </c:pt>
                <c:pt idx="17">
                  <c:v>723</c:v>
                </c:pt>
                <c:pt idx="18">
                  <c:v>724</c:v>
                </c:pt>
                <c:pt idx="19">
                  <c:v>725</c:v>
                </c:pt>
                <c:pt idx="20">
                  <c:v>726</c:v>
                </c:pt>
                <c:pt idx="21">
                  <c:v>727</c:v>
                </c:pt>
                <c:pt idx="22">
                  <c:v>728</c:v>
                </c:pt>
                <c:pt idx="23">
                  <c:v>728</c:v>
                </c:pt>
                <c:pt idx="24">
                  <c:v>728</c:v>
                </c:pt>
                <c:pt idx="25">
                  <c:v>726</c:v>
                </c:pt>
                <c:pt idx="26">
                  <c:v>723</c:v>
                </c:pt>
                <c:pt idx="27">
                  <c:v>707</c:v>
                </c:pt>
                <c:pt idx="28">
                  <c:v>708</c:v>
                </c:pt>
                <c:pt idx="29">
                  <c:v>709</c:v>
                </c:pt>
                <c:pt idx="30">
                  <c:v>710</c:v>
                </c:pt>
                <c:pt idx="31">
                  <c:v>711</c:v>
                </c:pt>
                <c:pt idx="32">
                  <c:v>712</c:v>
                </c:pt>
                <c:pt idx="33">
                  <c:v>713</c:v>
                </c:pt>
                <c:pt idx="34">
                  <c:v>714</c:v>
                </c:pt>
                <c:pt idx="35">
                  <c:v>714</c:v>
                </c:pt>
              </c:numCache>
            </c:numRef>
          </c:val>
          <c:smooth val="0"/>
        </c:ser>
        <c:dLbls>
          <c:showLegendKey val="0"/>
          <c:showVal val="0"/>
          <c:showCatName val="0"/>
          <c:showSerName val="0"/>
          <c:showPercent val="0"/>
          <c:showBubbleSize val="0"/>
        </c:dLbls>
        <c:smooth val="0"/>
        <c:axId val="434626248"/>
        <c:axId val="434614096"/>
      </c:lineChart>
      <c:dateAx>
        <c:axId val="43462624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Month</a:t>
                </a:r>
              </a:p>
            </c:rich>
          </c:tx>
          <c:overlay val="0"/>
          <c:spPr>
            <a:noFill/>
            <a:ln>
              <a:noFill/>
            </a:ln>
            <a:effectLst/>
          </c:spPr>
        </c:title>
        <c:numFmt formatCode="[$-409]m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434614096"/>
        <c:crosses val="autoZero"/>
        <c:auto val="1"/>
        <c:lblOffset val="100"/>
        <c:baseTimeUnit val="months"/>
      </c:dateAx>
      <c:valAx>
        <c:axId val="434614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Number of Service Accounts Enrolled</a:t>
                </a:r>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6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3"/>
          <c:tx>
            <c:strRef>
              <c:f>Sheet1!$E$2</c:f>
              <c:strCache>
                <c:ptCount val="1"/>
                <c:pt idx="0">
                  <c:v>Event Hours</c:v>
                </c:pt>
              </c:strCache>
            </c:strRef>
          </c:tx>
          <c:spPr>
            <a:solidFill>
              <a:schemeClr val="accent1">
                <a:lumMod val="20000"/>
                <a:lumOff val="80000"/>
              </a:schemeClr>
            </a:solidFill>
            <a:ln>
              <a:noFill/>
            </a:ln>
            <a:effectLst/>
          </c:spPr>
          <c:val>
            <c:numRef>
              <c:f>Sheet1!$E$3:$E$26</c:f>
              <c:numCache>
                <c:formatCode>General</c:formatCode>
                <c:ptCount val="24"/>
                <c:pt idx="13" formatCode="#,##0">
                  <c:v>700</c:v>
                </c:pt>
                <c:pt idx="14" formatCode="#,##0">
                  <c:v>700</c:v>
                </c:pt>
                <c:pt idx="15" formatCode="#,##0">
                  <c:v>700</c:v>
                </c:pt>
                <c:pt idx="16" formatCode="#,##0">
                  <c:v>700</c:v>
                </c:pt>
                <c:pt idx="17" formatCode="#,##0">
                  <c:v>700</c:v>
                </c:pt>
              </c:numCache>
            </c:numRef>
          </c:val>
        </c:ser>
        <c:dLbls>
          <c:showLegendKey val="0"/>
          <c:showVal val="0"/>
          <c:showCatName val="0"/>
          <c:showSerName val="0"/>
          <c:showPercent val="0"/>
          <c:showBubbleSize val="0"/>
        </c:dLbls>
        <c:axId val="434617624"/>
        <c:axId val="434615272"/>
      </c:areaChart>
      <c:lineChart>
        <c:grouping val="standard"/>
        <c:varyColors val="0"/>
        <c:ser>
          <c:idx val="0"/>
          <c:order val="0"/>
          <c:tx>
            <c:strRef>
              <c:f>Sheet1!$B$2</c:f>
              <c:strCache>
                <c:ptCount val="1"/>
                <c:pt idx="0">
                  <c:v>Reference</c:v>
                </c:pt>
              </c:strCache>
            </c:strRef>
          </c:tx>
          <c:spPr>
            <a:ln w="38100" cap="rnd">
              <a:solidFill>
                <a:schemeClr val="accent1"/>
              </a:solidFill>
              <a:round/>
            </a:ln>
            <a:effectLst/>
          </c:spPr>
          <c:marker>
            <c:symbol val="none"/>
          </c:marker>
          <c:val>
            <c:numRef>
              <c:f>Sheet1!$B$3:$B$26</c:f>
              <c:numCache>
                <c:formatCode>#,##0</c:formatCode>
                <c:ptCount val="24"/>
                <c:pt idx="0">
                  <c:v>555.48680000000002</c:v>
                </c:pt>
                <c:pt idx="1">
                  <c:v>545.12599999999998</c:v>
                </c:pt>
                <c:pt idx="2">
                  <c:v>537.20659999999998</c:v>
                </c:pt>
                <c:pt idx="3">
                  <c:v>534.35419999999999</c:v>
                </c:pt>
                <c:pt idx="4">
                  <c:v>541.15470000000005</c:v>
                </c:pt>
                <c:pt idx="5">
                  <c:v>558.93780000000004</c:v>
                </c:pt>
                <c:pt idx="6">
                  <c:v>590</c:v>
                </c:pt>
                <c:pt idx="7">
                  <c:v>611.79639999999995</c:v>
                </c:pt>
                <c:pt idx="8">
                  <c:v>632.53779999999995</c:v>
                </c:pt>
                <c:pt idx="9">
                  <c:v>651.37450000000001</c:v>
                </c:pt>
                <c:pt idx="10">
                  <c:v>663.1268</c:v>
                </c:pt>
                <c:pt idx="11">
                  <c:v>672.05160000000001</c:v>
                </c:pt>
                <c:pt idx="12">
                  <c:v>670.00429999999994</c:v>
                </c:pt>
                <c:pt idx="13">
                  <c:v>676.06910000000005</c:v>
                </c:pt>
                <c:pt idx="14">
                  <c:v>675.96990000000005</c:v>
                </c:pt>
                <c:pt idx="15">
                  <c:v>665.68920000000003</c:v>
                </c:pt>
                <c:pt idx="16">
                  <c:v>657.95050000000003</c:v>
                </c:pt>
                <c:pt idx="17">
                  <c:v>642.79169999999999</c:v>
                </c:pt>
                <c:pt idx="18">
                  <c:v>629.9461</c:v>
                </c:pt>
                <c:pt idx="19">
                  <c:v>618.11360000000002</c:v>
                </c:pt>
                <c:pt idx="20">
                  <c:v>611.58479999999997</c:v>
                </c:pt>
                <c:pt idx="21">
                  <c:v>600.76279999999997</c:v>
                </c:pt>
                <c:pt idx="22">
                  <c:v>584.53420000000006</c:v>
                </c:pt>
                <c:pt idx="23">
                  <c:v>570.59540000000004</c:v>
                </c:pt>
              </c:numCache>
            </c:numRef>
          </c:val>
          <c:smooth val="0"/>
        </c:ser>
        <c:ser>
          <c:idx val="1"/>
          <c:order val="1"/>
          <c:tx>
            <c:strRef>
              <c:f>Sheet1!$C$2</c:f>
              <c:strCache>
                <c:ptCount val="1"/>
                <c:pt idx="0">
                  <c:v>Observed</c:v>
                </c:pt>
              </c:strCache>
            </c:strRef>
          </c:tx>
          <c:spPr>
            <a:ln w="38100" cap="rnd">
              <a:solidFill>
                <a:schemeClr val="accent2"/>
              </a:solidFill>
              <a:prstDash val="dash"/>
              <a:round/>
            </a:ln>
            <a:effectLst/>
          </c:spPr>
          <c:marker>
            <c:symbol val="none"/>
          </c:marker>
          <c:val>
            <c:numRef>
              <c:f>Sheet1!$C$3:$C$26</c:f>
              <c:numCache>
                <c:formatCode>#,##0</c:formatCode>
                <c:ptCount val="24"/>
                <c:pt idx="0">
                  <c:v>554.03131500000006</c:v>
                </c:pt>
                <c:pt idx="1">
                  <c:v>544.60979799999996</c:v>
                </c:pt>
                <c:pt idx="2">
                  <c:v>537.11415149999993</c:v>
                </c:pt>
                <c:pt idx="3">
                  <c:v>534.10067530000003</c:v>
                </c:pt>
                <c:pt idx="4">
                  <c:v>542.07860230000006</c:v>
                </c:pt>
                <c:pt idx="5">
                  <c:v>560.01439300000004</c:v>
                </c:pt>
                <c:pt idx="6">
                  <c:v>590.79304860000002</c:v>
                </c:pt>
                <c:pt idx="7">
                  <c:v>611.89123119999999</c:v>
                </c:pt>
                <c:pt idx="8">
                  <c:v>631.36685499999999</c:v>
                </c:pt>
                <c:pt idx="9">
                  <c:v>650.3831275</c:v>
                </c:pt>
                <c:pt idx="10">
                  <c:v>660.82570599999997</c:v>
                </c:pt>
                <c:pt idx="11">
                  <c:v>669.76933700000006</c:v>
                </c:pt>
                <c:pt idx="12">
                  <c:v>658.60287999999991</c:v>
                </c:pt>
                <c:pt idx="13">
                  <c:v>642.31054000000006</c:v>
                </c:pt>
                <c:pt idx="14">
                  <c:v>642.01089999999999</c:v>
                </c:pt>
                <c:pt idx="15">
                  <c:v>631.35793999999999</c:v>
                </c:pt>
                <c:pt idx="16">
                  <c:v>625.69955000000004</c:v>
                </c:pt>
                <c:pt idx="17">
                  <c:v>614.42376000000002</c:v>
                </c:pt>
                <c:pt idx="18">
                  <c:v>611.31813999999997</c:v>
                </c:pt>
                <c:pt idx="19">
                  <c:v>606.64481000000001</c:v>
                </c:pt>
                <c:pt idx="20">
                  <c:v>602.71062699999993</c:v>
                </c:pt>
                <c:pt idx="21">
                  <c:v>591.89723900000001</c:v>
                </c:pt>
                <c:pt idx="22">
                  <c:v>576.70121600000004</c:v>
                </c:pt>
                <c:pt idx="23">
                  <c:v>562.74122700000009</c:v>
                </c:pt>
              </c:numCache>
            </c:numRef>
          </c:val>
          <c:smooth val="0"/>
        </c:ser>
        <c:dLbls>
          <c:showLegendKey val="0"/>
          <c:showVal val="0"/>
          <c:showCatName val="0"/>
          <c:showSerName val="0"/>
          <c:showPercent val="0"/>
          <c:showBubbleSize val="0"/>
        </c:dLbls>
        <c:marker val="1"/>
        <c:smooth val="0"/>
        <c:axId val="434617624"/>
        <c:axId val="434615272"/>
      </c:lineChart>
      <c:lineChart>
        <c:grouping val="standard"/>
        <c:varyColors val="0"/>
        <c:ser>
          <c:idx val="2"/>
          <c:order val="2"/>
          <c:tx>
            <c:strRef>
              <c:f>Sheet1!$D$2</c:f>
              <c:strCache>
                <c:ptCount val="1"/>
                <c:pt idx="0">
                  <c:v>Load Impact</c:v>
                </c:pt>
              </c:strCache>
            </c:strRef>
          </c:tx>
          <c:spPr>
            <a:ln w="38100" cap="rnd">
              <a:solidFill>
                <a:srgbClr val="92D050"/>
              </a:solidFill>
              <a:round/>
            </a:ln>
            <a:effectLst/>
          </c:spPr>
          <c:marker>
            <c:symbol val="diamond"/>
            <c:size val="8"/>
            <c:spPr>
              <a:solidFill>
                <a:srgbClr val="92D050"/>
              </a:solidFill>
              <a:ln w="9525">
                <a:solidFill>
                  <a:srgbClr val="92D050"/>
                </a:solidFill>
              </a:ln>
              <a:effectLst/>
            </c:spPr>
          </c:marker>
          <c:val>
            <c:numRef>
              <c:f>Sheet1!$D$3:$D$26</c:f>
              <c:numCache>
                <c:formatCode>#,##0</c:formatCode>
                <c:ptCount val="24"/>
                <c:pt idx="0">
                  <c:v>1.4554849999999999</c:v>
                </c:pt>
                <c:pt idx="1">
                  <c:v>0.51620200000000005</c:v>
                </c:pt>
                <c:pt idx="2">
                  <c:v>9.2448500000000003E-2</c:v>
                </c:pt>
                <c:pt idx="3">
                  <c:v>0.25352469999999999</c:v>
                </c:pt>
                <c:pt idx="4">
                  <c:v>-0.92390229999999995</c:v>
                </c:pt>
                <c:pt idx="5">
                  <c:v>-1.0765929999999999</c:v>
                </c:pt>
                <c:pt idx="6">
                  <c:v>-0.79304859999999999</c:v>
                </c:pt>
                <c:pt idx="7">
                  <c:v>-9.4831200000000004E-2</c:v>
                </c:pt>
                <c:pt idx="8">
                  <c:v>1.1709449999999999</c:v>
                </c:pt>
                <c:pt idx="9">
                  <c:v>0.99137249999999999</c:v>
                </c:pt>
                <c:pt idx="10">
                  <c:v>2.301094</c:v>
                </c:pt>
                <c:pt idx="11">
                  <c:v>2.2822629999999999</c:v>
                </c:pt>
                <c:pt idx="12">
                  <c:v>11.40142</c:v>
                </c:pt>
                <c:pt idx="13">
                  <c:v>33.758560000000003</c:v>
                </c:pt>
                <c:pt idx="14">
                  <c:v>33.959000000000003</c:v>
                </c:pt>
                <c:pt idx="15">
                  <c:v>34.33126</c:v>
                </c:pt>
                <c:pt idx="16">
                  <c:v>32.250950000000003</c:v>
                </c:pt>
                <c:pt idx="17">
                  <c:v>28.367940000000001</c:v>
                </c:pt>
                <c:pt idx="18">
                  <c:v>18.627960000000002</c:v>
                </c:pt>
                <c:pt idx="19">
                  <c:v>11.46879</c:v>
                </c:pt>
                <c:pt idx="20">
                  <c:v>8.8741730000000008</c:v>
                </c:pt>
                <c:pt idx="21">
                  <c:v>8.8655609999999996</c:v>
                </c:pt>
                <c:pt idx="22">
                  <c:v>7.8329839999999997</c:v>
                </c:pt>
                <c:pt idx="23">
                  <c:v>7.8541730000000003</c:v>
                </c:pt>
              </c:numCache>
            </c:numRef>
          </c:val>
          <c:smooth val="0"/>
        </c:ser>
        <c:dLbls>
          <c:showLegendKey val="0"/>
          <c:showVal val="0"/>
          <c:showCatName val="0"/>
          <c:showSerName val="0"/>
          <c:showPercent val="0"/>
          <c:showBubbleSize val="0"/>
        </c:dLbls>
        <c:marker val="1"/>
        <c:smooth val="0"/>
        <c:axId val="434622720"/>
        <c:axId val="434616056"/>
      </c:lineChart>
      <c:catAx>
        <c:axId val="434617624"/>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5272"/>
        <c:crosses val="autoZero"/>
        <c:auto val="1"/>
        <c:lblAlgn val="ctr"/>
        <c:lblOffset val="100"/>
        <c:noMultiLvlLbl val="0"/>
      </c:catAx>
      <c:valAx>
        <c:axId val="434615272"/>
        <c:scaling>
          <c:orientation val="minMax"/>
          <c:max val="7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7624"/>
        <c:crosses val="autoZero"/>
        <c:crossBetween val="between"/>
        <c:majorUnit val="100"/>
      </c:valAx>
      <c:valAx>
        <c:axId val="434616056"/>
        <c:scaling>
          <c:orientation val="minMax"/>
          <c:max val="6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2720"/>
        <c:crosses val="max"/>
        <c:crossBetween val="between"/>
      </c:valAx>
      <c:catAx>
        <c:axId val="434622720"/>
        <c:scaling>
          <c:orientation val="minMax"/>
        </c:scaling>
        <c:delete val="1"/>
        <c:axPos val="b"/>
        <c:majorTickMark val="out"/>
        <c:minorTickMark val="none"/>
        <c:tickLblPos val="nextTo"/>
        <c:crossAx val="4346160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3"/>
          <c:tx>
            <c:strRef>
              <c:f>Sheet1!$J$2</c:f>
              <c:strCache>
                <c:ptCount val="1"/>
                <c:pt idx="0">
                  <c:v>Event Hours</c:v>
                </c:pt>
              </c:strCache>
            </c:strRef>
          </c:tx>
          <c:spPr>
            <a:solidFill>
              <a:schemeClr val="accent1">
                <a:lumMod val="20000"/>
                <a:lumOff val="80000"/>
              </a:schemeClr>
            </a:solidFill>
            <a:ln>
              <a:noFill/>
            </a:ln>
            <a:effectLst/>
          </c:spPr>
          <c:val>
            <c:numRef>
              <c:f>Sheet1!$J$3:$J$26</c:f>
              <c:numCache>
                <c:formatCode>General</c:formatCode>
                <c:ptCount val="24"/>
                <c:pt idx="13" formatCode="#,##0">
                  <c:v>700</c:v>
                </c:pt>
                <c:pt idx="14" formatCode="#,##0">
                  <c:v>700</c:v>
                </c:pt>
                <c:pt idx="15" formatCode="#,##0">
                  <c:v>700</c:v>
                </c:pt>
                <c:pt idx="16" formatCode="#,##0">
                  <c:v>700</c:v>
                </c:pt>
                <c:pt idx="17" formatCode="#,##0">
                  <c:v>700</c:v>
                </c:pt>
              </c:numCache>
            </c:numRef>
          </c:val>
        </c:ser>
        <c:dLbls>
          <c:showLegendKey val="0"/>
          <c:showVal val="0"/>
          <c:showCatName val="0"/>
          <c:showSerName val="0"/>
          <c:showPercent val="0"/>
          <c:showBubbleSize val="0"/>
        </c:dLbls>
        <c:axId val="434614880"/>
        <c:axId val="434616840"/>
      </c:areaChart>
      <c:lineChart>
        <c:grouping val="standard"/>
        <c:varyColors val="0"/>
        <c:ser>
          <c:idx val="0"/>
          <c:order val="0"/>
          <c:tx>
            <c:strRef>
              <c:f>Sheet1!$G$2</c:f>
              <c:strCache>
                <c:ptCount val="1"/>
                <c:pt idx="0">
                  <c:v>Reference</c:v>
                </c:pt>
              </c:strCache>
            </c:strRef>
          </c:tx>
          <c:spPr>
            <a:ln w="38100" cap="rnd">
              <a:solidFill>
                <a:schemeClr val="accent1"/>
              </a:solidFill>
              <a:round/>
            </a:ln>
            <a:effectLst/>
          </c:spPr>
          <c:marker>
            <c:symbol val="none"/>
          </c:marker>
          <c:val>
            <c:numRef>
              <c:f>Sheet1!$G$3:$G$26</c:f>
              <c:numCache>
                <c:formatCode>#,##0</c:formatCode>
                <c:ptCount val="24"/>
                <c:pt idx="0">
                  <c:v>319.5256</c:v>
                </c:pt>
                <c:pt idx="1">
                  <c:v>315.22449999999998</c:v>
                </c:pt>
                <c:pt idx="2">
                  <c:v>310.22410000000002</c:v>
                </c:pt>
                <c:pt idx="3">
                  <c:v>309.3698</c:v>
                </c:pt>
                <c:pt idx="4">
                  <c:v>313.83819999999997</c:v>
                </c:pt>
                <c:pt idx="5">
                  <c:v>324.36660000000001</c:v>
                </c:pt>
                <c:pt idx="6">
                  <c:v>341.81189999999998</c:v>
                </c:pt>
                <c:pt idx="7">
                  <c:v>358.49950000000001</c:v>
                </c:pt>
                <c:pt idx="8">
                  <c:v>377.21800000000002</c:v>
                </c:pt>
                <c:pt idx="9">
                  <c:v>391.91390000000001</c:v>
                </c:pt>
                <c:pt idx="10">
                  <c:v>405.3888</c:v>
                </c:pt>
                <c:pt idx="11">
                  <c:v>411.01350000000002</c:v>
                </c:pt>
                <c:pt idx="12">
                  <c:v>413.12209999999999</c:v>
                </c:pt>
                <c:pt idx="13">
                  <c:v>418.4846</c:v>
                </c:pt>
                <c:pt idx="14">
                  <c:v>419.21780000000001</c:v>
                </c:pt>
                <c:pt idx="15">
                  <c:v>413.92349999999999</c:v>
                </c:pt>
                <c:pt idx="16">
                  <c:v>405.21249999999998</c:v>
                </c:pt>
                <c:pt idx="17">
                  <c:v>391.0976</c:v>
                </c:pt>
                <c:pt idx="18">
                  <c:v>374.85980000000001</c:v>
                </c:pt>
                <c:pt idx="19">
                  <c:v>363.88810000000001</c:v>
                </c:pt>
                <c:pt idx="20">
                  <c:v>358.61259999999999</c:v>
                </c:pt>
                <c:pt idx="21">
                  <c:v>348.19959999999998</c:v>
                </c:pt>
                <c:pt idx="22">
                  <c:v>337.00799999999998</c:v>
                </c:pt>
                <c:pt idx="23">
                  <c:v>326.9796</c:v>
                </c:pt>
              </c:numCache>
            </c:numRef>
          </c:val>
          <c:smooth val="0"/>
        </c:ser>
        <c:ser>
          <c:idx val="1"/>
          <c:order val="1"/>
          <c:tx>
            <c:strRef>
              <c:f>Sheet1!$H$2</c:f>
              <c:strCache>
                <c:ptCount val="1"/>
                <c:pt idx="0">
                  <c:v>Observed</c:v>
                </c:pt>
              </c:strCache>
            </c:strRef>
          </c:tx>
          <c:spPr>
            <a:ln w="38100" cap="rnd">
              <a:solidFill>
                <a:schemeClr val="accent2"/>
              </a:solidFill>
              <a:prstDash val="dash"/>
              <a:round/>
            </a:ln>
            <a:effectLst/>
          </c:spPr>
          <c:marker>
            <c:symbol val="none"/>
          </c:marker>
          <c:val>
            <c:numRef>
              <c:f>Sheet1!$H$3:$H$26</c:f>
              <c:numCache>
                <c:formatCode>#,##0</c:formatCode>
                <c:ptCount val="24"/>
                <c:pt idx="0">
                  <c:v>319.43888729999998</c:v>
                </c:pt>
                <c:pt idx="1">
                  <c:v>315.1265325</c:v>
                </c:pt>
                <c:pt idx="2">
                  <c:v>310.137068</c:v>
                </c:pt>
                <c:pt idx="3">
                  <c:v>309.35011200000002</c:v>
                </c:pt>
                <c:pt idx="4">
                  <c:v>313.98083599999995</c:v>
                </c:pt>
                <c:pt idx="5">
                  <c:v>324.50940600000001</c:v>
                </c:pt>
                <c:pt idx="6">
                  <c:v>341.62445729999996</c:v>
                </c:pt>
                <c:pt idx="7">
                  <c:v>358.48694810000001</c:v>
                </c:pt>
                <c:pt idx="8">
                  <c:v>377.20214020000003</c:v>
                </c:pt>
                <c:pt idx="9">
                  <c:v>392.12387610000002</c:v>
                </c:pt>
                <c:pt idx="10">
                  <c:v>405.5820377</c:v>
                </c:pt>
                <c:pt idx="11">
                  <c:v>411.21387450000003</c:v>
                </c:pt>
                <c:pt idx="12">
                  <c:v>413.0484318</c:v>
                </c:pt>
                <c:pt idx="13">
                  <c:v>417.08279099999999</c:v>
                </c:pt>
                <c:pt idx="14">
                  <c:v>417.82982800000002</c:v>
                </c:pt>
                <c:pt idx="15">
                  <c:v>412.67511100000002</c:v>
                </c:pt>
                <c:pt idx="16">
                  <c:v>404.44099989999995</c:v>
                </c:pt>
                <c:pt idx="17">
                  <c:v>390.76546489999998</c:v>
                </c:pt>
                <c:pt idx="18">
                  <c:v>374.83437170000002</c:v>
                </c:pt>
                <c:pt idx="19">
                  <c:v>364.00959560000001</c:v>
                </c:pt>
                <c:pt idx="20">
                  <c:v>358.93268280000001</c:v>
                </c:pt>
                <c:pt idx="21">
                  <c:v>348.51852699999995</c:v>
                </c:pt>
                <c:pt idx="22">
                  <c:v>337.19413329999998</c:v>
                </c:pt>
                <c:pt idx="23">
                  <c:v>327.15120730000001</c:v>
                </c:pt>
              </c:numCache>
            </c:numRef>
          </c:val>
          <c:smooth val="0"/>
        </c:ser>
        <c:dLbls>
          <c:showLegendKey val="0"/>
          <c:showVal val="0"/>
          <c:showCatName val="0"/>
          <c:showSerName val="0"/>
          <c:showPercent val="0"/>
          <c:showBubbleSize val="0"/>
        </c:dLbls>
        <c:marker val="1"/>
        <c:smooth val="0"/>
        <c:axId val="434614880"/>
        <c:axId val="434616840"/>
      </c:lineChart>
      <c:lineChart>
        <c:grouping val="standard"/>
        <c:varyColors val="0"/>
        <c:ser>
          <c:idx val="2"/>
          <c:order val="2"/>
          <c:tx>
            <c:strRef>
              <c:f>Sheet1!$I$2</c:f>
              <c:strCache>
                <c:ptCount val="1"/>
                <c:pt idx="0">
                  <c:v>Load Impact</c:v>
                </c:pt>
              </c:strCache>
            </c:strRef>
          </c:tx>
          <c:spPr>
            <a:ln w="38100" cap="rnd">
              <a:solidFill>
                <a:srgbClr val="92D050"/>
              </a:solidFill>
              <a:round/>
            </a:ln>
            <a:effectLst/>
          </c:spPr>
          <c:marker>
            <c:symbol val="diamond"/>
            <c:size val="8"/>
            <c:spPr>
              <a:solidFill>
                <a:srgbClr val="92D050"/>
              </a:solidFill>
              <a:ln w="9525">
                <a:solidFill>
                  <a:srgbClr val="92D050"/>
                </a:solidFill>
              </a:ln>
              <a:effectLst/>
            </c:spPr>
          </c:marker>
          <c:val>
            <c:numRef>
              <c:f>Sheet1!$I$3:$I$26</c:f>
              <c:numCache>
                <c:formatCode>#,##0</c:formatCode>
                <c:ptCount val="24"/>
                <c:pt idx="0">
                  <c:v>8.6712700000000004E-2</c:v>
                </c:pt>
                <c:pt idx="1">
                  <c:v>9.7967499999999999E-2</c:v>
                </c:pt>
                <c:pt idx="2">
                  <c:v>8.7031999999999998E-2</c:v>
                </c:pt>
                <c:pt idx="3">
                  <c:v>1.9688000000000001E-2</c:v>
                </c:pt>
                <c:pt idx="4">
                  <c:v>-0.14263600000000001</c:v>
                </c:pt>
                <c:pt idx="5">
                  <c:v>-0.14280599999999999</c:v>
                </c:pt>
                <c:pt idx="6">
                  <c:v>0.18744269999999999</c:v>
                </c:pt>
                <c:pt idx="7">
                  <c:v>1.25519E-2</c:v>
                </c:pt>
                <c:pt idx="8">
                  <c:v>1.58598E-2</c:v>
                </c:pt>
                <c:pt idx="9">
                  <c:v>-0.2099761</c:v>
                </c:pt>
                <c:pt idx="10">
                  <c:v>-0.19323770000000001</c:v>
                </c:pt>
                <c:pt idx="11">
                  <c:v>-0.20037450000000001</c:v>
                </c:pt>
                <c:pt idx="12">
                  <c:v>7.3668200000000003E-2</c:v>
                </c:pt>
                <c:pt idx="13">
                  <c:v>1.4018090000000001</c:v>
                </c:pt>
                <c:pt idx="14">
                  <c:v>1.387972</c:v>
                </c:pt>
                <c:pt idx="15">
                  <c:v>1.248389</c:v>
                </c:pt>
                <c:pt idx="16">
                  <c:v>0.77150010000000002</c:v>
                </c:pt>
                <c:pt idx="17">
                  <c:v>0.33213510000000002</c:v>
                </c:pt>
                <c:pt idx="18">
                  <c:v>2.5428300000000001E-2</c:v>
                </c:pt>
                <c:pt idx="19">
                  <c:v>-0.1214956</c:v>
                </c:pt>
                <c:pt idx="20">
                  <c:v>-0.3200828</c:v>
                </c:pt>
                <c:pt idx="21">
                  <c:v>-0.31892700000000002</c:v>
                </c:pt>
                <c:pt idx="22">
                  <c:v>-0.1861333</c:v>
                </c:pt>
                <c:pt idx="23">
                  <c:v>-0.17160729999999999</c:v>
                </c:pt>
              </c:numCache>
            </c:numRef>
          </c:val>
          <c:smooth val="0"/>
        </c:ser>
        <c:dLbls>
          <c:showLegendKey val="0"/>
          <c:showVal val="0"/>
          <c:showCatName val="0"/>
          <c:showSerName val="0"/>
          <c:showPercent val="0"/>
          <c:showBubbleSize val="0"/>
        </c:dLbls>
        <c:marker val="1"/>
        <c:smooth val="0"/>
        <c:axId val="434621936"/>
        <c:axId val="434618016"/>
      </c:lineChart>
      <c:catAx>
        <c:axId val="434614880"/>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6840"/>
        <c:crosses val="autoZero"/>
        <c:auto val="1"/>
        <c:lblAlgn val="ctr"/>
        <c:lblOffset val="100"/>
        <c:noMultiLvlLbl val="0"/>
      </c:catAx>
      <c:valAx>
        <c:axId val="434616840"/>
        <c:scaling>
          <c:orientation val="minMax"/>
          <c:max val="7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4880"/>
        <c:crosses val="autoZero"/>
        <c:crossBetween val="between"/>
      </c:valAx>
      <c:valAx>
        <c:axId val="434618016"/>
        <c:scaling>
          <c:orientation val="minMax"/>
          <c:max val="6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1936"/>
        <c:crosses val="max"/>
        <c:crossBetween val="between"/>
      </c:valAx>
      <c:catAx>
        <c:axId val="434621936"/>
        <c:scaling>
          <c:orientation val="minMax"/>
        </c:scaling>
        <c:delete val="1"/>
        <c:axPos val="b"/>
        <c:majorTickMark val="out"/>
        <c:minorTickMark val="none"/>
        <c:tickLblPos val="nextTo"/>
        <c:crossAx val="43461801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Sheet1!$F$33:$F$40</c:f>
              <c:strCache>
                <c:ptCount val="8"/>
                <c:pt idx="0">
                  <c:v>Program Utility 1-in-2</c:v>
                </c:pt>
                <c:pt idx="1">
                  <c:v>Program Utility 1-in-10</c:v>
                </c:pt>
                <c:pt idx="2">
                  <c:v>Program CAISO 1-in-2</c:v>
                </c:pt>
                <c:pt idx="3">
                  <c:v>Program CAISO 1-in-10</c:v>
                </c:pt>
                <c:pt idx="4">
                  <c:v>Portfolio Utility 1-in-2</c:v>
                </c:pt>
                <c:pt idx="5">
                  <c:v>Portfolio Utility 1-in-10</c:v>
                </c:pt>
                <c:pt idx="6">
                  <c:v>Portfolio CAISO 1-in-2</c:v>
                </c:pt>
                <c:pt idx="7">
                  <c:v>Portfolio CAISO 1-in-10</c:v>
                </c:pt>
              </c:strCache>
            </c:strRef>
          </c:cat>
          <c:val>
            <c:numRef>
              <c:f>Sheet1!$G$33:$G$40</c:f>
              <c:numCache>
                <c:formatCode>0.00</c:formatCode>
                <c:ptCount val="8"/>
                <c:pt idx="0">
                  <c:v>32.533542000000004</c:v>
                </c:pt>
                <c:pt idx="1">
                  <c:v>32.658022000000003</c:v>
                </c:pt>
                <c:pt idx="2">
                  <c:v>32.461059999999996</c:v>
                </c:pt>
                <c:pt idx="3">
                  <c:v>32.531126</c:v>
                </c:pt>
                <c:pt idx="4">
                  <c:v>1.0283610400000001</c:v>
                </c:pt>
                <c:pt idx="5">
                  <c:v>1.0801245799999999</c:v>
                </c:pt>
                <c:pt idx="6">
                  <c:v>1.00614004</c:v>
                </c:pt>
                <c:pt idx="7">
                  <c:v>1.0264422200000001</c:v>
                </c:pt>
              </c:numCache>
            </c:numRef>
          </c:val>
        </c:ser>
        <c:dLbls>
          <c:showLegendKey val="0"/>
          <c:showVal val="0"/>
          <c:showCatName val="0"/>
          <c:showSerName val="0"/>
          <c:showPercent val="0"/>
          <c:showBubbleSize val="0"/>
        </c:dLbls>
        <c:gapWidth val="182"/>
        <c:axId val="434625072"/>
        <c:axId val="434618408"/>
      </c:barChart>
      <c:catAx>
        <c:axId val="434625072"/>
        <c:scaling>
          <c:orientation val="minMax"/>
        </c:scaling>
        <c:delete val="0"/>
        <c:axPos val="l"/>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Scenario</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8408"/>
        <c:crosses val="autoZero"/>
        <c:auto val="1"/>
        <c:lblAlgn val="ctr"/>
        <c:lblOffset val="100"/>
        <c:noMultiLvlLbl val="0"/>
      </c:catAx>
      <c:valAx>
        <c:axId val="4346184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Load Impact (MW)</a:t>
                </a: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46250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3"/>
          <c:tx>
            <c:strRef>
              <c:f>Sheet1!$AA$2</c:f>
              <c:strCache>
                <c:ptCount val="1"/>
                <c:pt idx="0">
                  <c:v>Event Hours</c:v>
                </c:pt>
              </c:strCache>
            </c:strRef>
          </c:tx>
          <c:spPr>
            <a:solidFill>
              <a:schemeClr val="accent1">
                <a:lumMod val="20000"/>
                <a:lumOff val="80000"/>
              </a:schemeClr>
            </a:solidFill>
            <a:ln>
              <a:noFill/>
            </a:ln>
            <a:effectLst/>
          </c:spPr>
          <c:val>
            <c:numRef>
              <c:f>Sheet1!$AA$3:$AA$26</c:f>
              <c:numCache>
                <c:formatCode>General</c:formatCode>
                <c:ptCount val="24"/>
                <c:pt idx="13" formatCode="#,##0">
                  <c:v>800</c:v>
                </c:pt>
                <c:pt idx="14" formatCode="#,##0">
                  <c:v>800</c:v>
                </c:pt>
                <c:pt idx="15" formatCode="#,##0">
                  <c:v>800</c:v>
                </c:pt>
                <c:pt idx="16" formatCode="#,##0">
                  <c:v>800</c:v>
                </c:pt>
                <c:pt idx="17" formatCode="#,##0">
                  <c:v>800</c:v>
                </c:pt>
              </c:numCache>
            </c:numRef>
          </c:val>
        </c:ser>
        <c:dLbls>
          <c:showLegendKey val="0"/>
          <c:showVal val="0"/>
          <c:showCatName val="0"/>
          <c:showSerName val="0"/>
          <c:showPercent val="0"/>
          <c:showBubbleSize val="0"/>
        </c:dLbls>
        <c:axId val="434623896"/>
        <c:axId val="434625464"/>
      </c:areaChart>
      <c:lineChart>
        <c:grouping val="standard"/>
        <c:varyColors val="0"/>
        <c:ser>
          <c:idx val="0"/>
          <c:order val="0"/>
          <c:tx>
            <c:strRef>
              <c:f>Sheet1!$X$2</c:f>
              <c:strCache>
                <c:ptCount val="1"/>
                <c:pt idx="0">
                  <c:v>Reference</c:v>
                </c:pt>
              </c:strCache>
            </c:strRef>
          </c:tx>
          <c:spPr>
            <a:ln w="38100" cap="rnd">
              <a:solidFill>
                <a:schemeClr val="accent1"/>
              </a:solidFill>
              <a:round/>
            </a:ln>
            <a:effectLst/>
          </c:spPr>
          <c:marker>
            <c:symbol val="none"/>
          </c:marker>
          <c:val>
            <c:numRef>
              <c:f>Sheet1!$X$3:$X$26</c:f>
              <c:numCache>
                <c:formatCode>#,##0</c:formatCode>
                <c:ptCount val="24"/>
                <c:pt idx="0">
                  <c:v>554.37609091222669</c:v>
                </c:pt>
                <c:pt idx="1">
                  <c:v>547.34610605199009</c:v>
                </c:pt>
                <c:pt idx="2">
                  <c:v>542.02688339558017</c:v>
                </c:pt>
                <c:pt idx="3">
                  <c:v>542.96293310769647</c:v>
                </c:pt>
                <c:pt idx="4">
                  <c:v>550.5212941144797</c:v>
                </c:pt>
                <c:pt idx="5">
                  <c:v>577.76484973588458</c:v>
                </c:pt>
                <c:pt idx="6">
                  <c:v>627.88967575489505</c:v>
                </c:pt>
                <c:pt idx="7">
                  <c:v>642.43483695726047</c:v>
                </c:pt>
                <c:pt idx="8">
                  <c:v>657.8661697475759</c:v>
                </c:pt>
                <c:pt idx="9">
                  <c:v>673.94953171949226</c:v>
                </c:pt>
                <c:pt idx="10">
                  <c:v>690.70244237693316</c:v>
                </c:pt>
                <c:pt idx="11">
                  <c:v>698.94647955335279</c:v>
                </c:pt>
                <c:pt idx="12">
                  <c:v>699.91556949080359</c:v>
                </c:pt>
                <c:pt idx="13">
                  <c:v>704.70152565180615</c:v>
                </c:pt>
                <c:pt idx="14">
                  <c:v>705.04269093465143</c:v>
                </c:pt>
                <c:pt idx="15">
                  <c:v>699.05019317792107</c:v>
                </c:pt>
                <c:pt idx="16">
                  <c:v>695.88844314568917</c:v>
                </c:pt>
                <c:pt idx="17">
                  <c:v>685.17190881400518</c:v>
                </c:pt>
                <c:pt idx="18">
                  <c:v>662.92054814624498</c:v>
                </c:pt>
                <c:pt idx="19">
                  <c:v>659.58397125392844</c:v>
                </c:pt>
                <c:pt idx="20">
                  <c:v>653.68440988614191</c:v>
                </c:pt>
                <c:pt idx="21">
                  <c:v>639.98683949317024</c:v>
                </c:pt>
                <c:pt idx="22">
                  <c:v>615.30146095195755</c:v>
                </c:pt>
                <c:pt idx="23">
                  <c:v>580.67927067238668</c:v>
                </c:pt>
              </c:numCache>
            </c:numRef>
          </c:val>
          <c:smooth val="0"/>
        </c:ser>
        <c:ser>
          <c:idx val="1"/>
          <c:order val="1"/>
          <c:tx>
            <c:strRef>
              <c:f>Sheet1!$Y$2</c:f>
              <c:strCache>
                <c:ptCount val="1"/>
                <c:pt idx="0">
                  <c:v>Observed</c:v>
                </c:pt>
              </c:strCache>
            </c:strRef>
          </c:tx>
          <c:spPr>
            <a:ln w="38100" cap="rnd">
              <a:solidFill>
                <a:schemeClr val="accent2"/>
              </a:solidFill>
              <a:prstDash val="sysDash"/>
              <a:round/>
            </a:ln>
            <a:effectLst/>
          </c:spPr>
          <c:marker>
            <c:symbol val="none"/>
          </c:marker>
          <c:val>
            <c:numRef>
              <c:f>Sheet1!$Y$3:$Y$26</c:f>
              <c:numCache>
                <c:formatCode>#,##0</c:formatCode>
                <c:ptCount val="24"/>
                <c:pt idx="0">
                  <c:v>550.76926508367444</c:v>
                </c:pt>
                <c:pt idx="1">
                  <c:v>542.43352270085484</c:v>
                </c:pt>
                <c:pt idx="2">
                  <c:v>538.82327631321323</c:v>
                </c:pt>
                <c:pt idx="3">
                  <c:v>540.04429368623346</c:v>
                </c:pt>
                <c:pt idx="4">
                  <c:v>550.14594152320353</c:v>
                </c:pt>
                <c:pt idx="5">
                  <c:v>576.95717318215839</c:v>
                </c:pt>
                <c:pt idx="6">
                  <c:v>626.74456908165439</c:v>
                </c:pt>
                <c:pt idx="7">
                  <c:v>640.6244609091724</c:v>
                </c:pt>
                <c:pt idx="8">
                  <c:v>657.42674269960798</c:v>
                </c:pt>
                <c:pt idx="9">
                  <c:v>672.4412714694007</c:v>
                </c:pt>
                <c:pt idx="10">
                  <c:v>683.25313827308184</c:v>
                </c:pt>
                <c:pt idx="11">
                  <c:v>691.21664785779615</c:v>
                </c:pt>
                <c:pt idx="12">
                  <c:v>649.09615725935828</c:v>
                </c:pt>
                <c:pt idx="13">
                  <c:v>593.62931343256787</c:v>
                </c:pt>
                <c:pt idx="14">
                  <c:v>592.54624623250299</c:v>
                </c:pt>
                <c:pt idx="15">
                  <c:v>585.31915985272576</c:v>
                </c:pt>
                <c:pt idx="16">
                  <c:v>582.88103500359932</c:v>
                </c:pt>
                <c:pt idx="17">
                  <c:v>583.31705804496221</c:v>
                </c:pt>
                <c:pt idx="18">
                  <c:v>608.4179045610399</c:v>
                </c:pt>
                <c:pt idx="19">
                  <c:v>620.45932983547141</c:v>
                </c:pt>
                <c:pt idx="20">
                  <c:v>625.08186510159601</c:v>
                </c:pt>
                <c:pt idx="21">
                  <c:v>610.94190235938117</c:v>
                </c:pt>
                <c:pt idx="22">
                  <c:v>590.27520820537552</c:v>
                </c:pt>
                <c:pt idx="23">
                  <c:v>555.32659046608785</c:v>
                </c:pt>
              </c:numCache>
            </c:numRef>
          </c:val>
          <c:smooth val="0"/>
        </c:ser>
        <c:dLbls>
          <c:showLegendKey val="0"/>
          <c:showVal val="0"/>
          <c:showCatName val="0"/>
          <c:showSerName val="0"/>
          <c:showPercent val="0"/>
          <c:showBubbleSize val="0"/>
        </c:dLbls>
        <c:marker val="1"/>
        <c:smooth val="0"/>
        <c:axId val="434623896"/>
        <c:axId val="434625464"/>
      </c:lineChart>
      <c:lineChart>
        <c:grouping val="standard"/>
        <c:varyColors val="0"/>
        <c:ser>
          <c:idx val="2"/>
          <c:order val="2"/>
          <c:tx>
            <c:strRef>
              <c:f>Sheet1!$Z$2</c:f>
              <c:strCache>
                <c:ptCount val="1"/>
                <c:pt idx="0">
                  <c:v>Load Impact</c:v>
                </c:pt>
              </c:strCache>
            </c:strRef>
          </c:tx>
          <c:spPr>
            <a:ln w="38100" cap="rnd">
              <a:solidFill>
                <a:srgbClr val="92D050"/>
              </a:solidFill>
              <a:round/>
            </a:ln>
            <a:effectLst/>
          </c:spPr>
          <c:marker>
            <c:symbol val="diamond"/>
            <c:size val="8"/>
            <c:spPr>
              <a:solidFill>
                <a:srgbClr val="92D050"/>
              </a:solidFill>
              <a:ln w="9525">
                <a:solidFill>
                  <a:srgbClr val="92D050"/>
                </a:solidFill>
              </a:ln>
              <a:effectLst/>
            </c:spPr>
          </c:marker>
          <c:val>
            <c:numRef>
              <c:f>Sheet1!$Z$3:$Z$26</c:f>
              <c:numCache>
                <c:formatCode>#,##0</c:formatCode>
                <c:ptCount val="24"/>
                <c:pt idx="0">
                  <c:v>3.6068258285522461</c:v>
                </c:pt>
                <c:pt idx="1">
                  <c:v>4.9125833511352539</c:v>
                </c:pt>
                <c:pt idx="2">
                  <c:v>3.2036070823669434</c:v>
                </c:pt>
                <c:pt idx="3">
                  <c:v>2.9186394214630127</c:v>
                </c:pt>
                <c:pt idx="4">
                  <c:v>0.37535259127616882</c:v>
                </c:pt>
                <c:pt idx="5">
                  <c:v>0.80767655372619629</c:v>
                </c:pt>
                <c:pt idx="6">
                  <c:v>1.1451066732406616</c:v>
                </c:pt>
                <c:pt idx="7">
                  <c:v>1.8103760480880737</c:v>
                </c:pt>
                <c:pt idx="8">
                  <c:v>0.43942704796791077</c:v>
                </c:pt>
                <c:pt idx="9">
                  <c:v>1.5082602500915527</c:v>
                </c:pt>
                <c:pt idx="10">
                  <c:v>7.4493041038513184</c:v>
                </c:pt>
                <c:pt idx="11">
                  <c:v>7.7298316955566406</c:v>
                </c:pt>
                <c:pt idx="12">
                  <c:v>50.819412231445312</c:v>
                </c:pt>
                <c:pt idx="13">
                  <c:v>111.07221221923828</c:v>
                </c:pt>
                <c:pt idx="14">
                  <c:v>112.49644470214844</c:v>
                </c:pt>
                <c:pt idx="15">
                  <c:v>113.73103332519531</c:v>
                </c:pt>
                <c:pt idx="16">
                  <c:v>113.00740814208984</c:v>
                </c:pt>
                <c:pt idx="17">
                  <c:v>101.85485076904297</c:v>
                </c:pt>
                <c:pt idx="18">
                  <c:v>54.502643585205078</c:v>
                </c:pt>
                <c:pt idx="19">
                  <c:v>39.124641418457031</c:v>
                </c:pt>
                <c:pt idx="20">
                  <c:v>28.602544784545898</c:v>
                </c:pt>
                <c:pt idx="21">
                  <c:v>29.044937133789063</c:v>
                </c:pt>
                <c:pt idx="22">
                  <c:v>25.026252746582031</c:v>
                </c:pt>
                <c:pt idx="23">
                  <c:v>25.352680206298828</c:v>
                </c:pt>
              </c:numCache>
            </c:numRef>
          </c:val>
          <c:smooth val="0"/>
        </c:ser>
        <c:dLbls>
          <c:showLegendKey val="0"/>
          <c:showVal val="0"/>
          <c:showCatName val="0"/>
          <c:showSerName val="0"/>
          <c:showPercent val="0"/>
          <c:showBubbleSize val="0"/>
        </c:dLbls>
        <c:marker val="1"/>
        <c:smooth val="0"/>
        <c:axId val="434614488"/>
        <c:axId val="434621544"/>
      </c:lineChart>
      <c:catAx>
        <c:axId val="43462389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5464"/>
        <c:crosses val="autoZero"/>
        <c:auto val="1"/>
        <c:lblAlgn val="ctr"/>
        <c:lblOffset val="100"/>
        <c:noMultiLvlLbl val="0"/>
      </c:catAx>
      <c:valAx>
        <c:axId val="434625464"/>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23896"/>
        <c:crosses val="autoZero"/>
        <c:crossBetween val="between"/>
      </c:valAx>
      <c:valAx>
        <c:axId val="434621544"/>
        <c:scaling>
          <c:orientation val="minMax"/>
          <c:max val="150"/>
          <c:min val="-1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434614488"/>
        <c:crosses val="max"/>
        <c:crossBetween val="between"/>
      </c:valAx>
      <c:catAx>
        <c:axId val="434614488"/>
        <c:scaling>
          <c:orientation val="minMax"/>
        </c:scaling>
        <c:delete val="1"/>
        <c:axPos val="b"/>
        <c:majorTickMark val="out"/>
        <c:minorTickMark val="none"/>
        <c:tickLblPos val="nextTo"/>
        <c:crossAx val="43462154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65E5C-BD5D-402D-8C0F-369377019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18503</Words>
  <Characters>105471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Sempra Energy</Company>
  <LinksUpToDate>false</LinksUpToDate>
  <CharactersWithSpaces>123727</CharactersWithSpaces>
  <SharedDoc>false</SharedDoc>
  <HLinks>
    <vt:vector size="1026" baseType="variant">
      <vt:variant>
        <vt:i4>1966134</vt:i4>
      </vt:variant>
      <vt:variant>
        <vt:i4>1022</vt:i4>
      </vt:variant>
      <vt:variant>
        <vt:i4>0</vt:i4>
      </vt:variant>
      <vt:variant>
        <vt:i4>5</vt:i4>
      </vt:variant>
      <vt:variant>
        <vt:lpwstr/>
      </vt:variant>
      <vt:variant>
        <vt:lpwstr>_Toc380052037</vt:lpwstr>
      </vt:variant>
      <vt:variant>
        <vt:i4>1966134</vt:i4>
      </vt:variant>
      <vt:variant>
        <vt:i4>1016</vt:i4>
      </vt:variant>
      <vt:variant>
        <vt:i4>0</vt:i4>
      </vt:variant>
      <vt:variant>
        <vt:i4>5</vt:i4>
      </vt:variant>
      <vt:variant>
        <vt:lpwstr/>
      </vt:variant>
      <vt:variant>
        <vt:lpwstr>_Toc380052036</vt:lpwstr>
      </vt:variant>
      <vt:variant>
        <vt:i4>1966134</vt:i4>
      </vt:variant>
      <vt:variant>
        <vt:i4>1010</vt:i4>
      </vt:variant>
      <vt:variant>
        <vt:i4>0</vt:i4>
      </vt:variant>
      <vt:variant>
        <vt:i4>5</vt:i4>
      </vt:variant>
      <vt:variant>
        <vt:lpwstr/>
      </vt:variant>
      <vt:variant>
        <vt:lpwstr>_Toc380052035</vt:lpwstr>
      </vt:variant>
      <vt:variant>
        <vt:i4>1966134</vt:i4>
      </vt:variant>
      <vt:variant>
        <vt:i4>1004</vt:i4>
      </vt:variant>
      <vt:variant>
        <vt:i4>0</vt:i4>
      </vt:variant>
      <vt:variant>
        <vt:i4>5</vt:i4>
      </vt:variant>
      <vt:variant>
        <vt:lpwstr/>
      </vt:variant>
      <vt:variant>
        <vt:lpwstr>_Toc380052034</vt:lpwstr>
      </vt:variant>
      <vt:variant>
        <vt:i4>1966134</vt:i4>
      </vt:variant>
      <vt:variant>
        <vt:i4>998</vt:i4>
      </vt:variant>
      <vt:variant>
        <vt:i4>0</vt:i4>
      </vt:variant>
      <vt:variant>
        <vt:i4>5</vt:i4>
      </vt:variant>
      <vt:variant>
        <vt:lpwstr/>
      </vt:variant>
      <vt:variant>
        <vt:lpwstr>_Toc380052033</vt:lpwstr>
      </vt:variant>
      <vt:variant>
        <vt:i4>1966134</vt:i4>
      </vt:variant>
      <vt:variant>
        <vt:i4>992</vt:i4>
      </vt:variant>
      <vt:variant>
        <vt:i4>0</vt:i4>
      </vt:variant>
      <vt:variant>
        <vt:i4>5</vt:i4>
      </vt:variant>
      <vt:variant>
        <vt:lpwstr/>
      </vt:variant>
      <vt:variant>
        <vt:lpwstr>_Toc380052032</vt:lpwstr>
      </vt:variant>
      <vt:variant>
        <vt:i4>1966134</vt:i4>
      </vt:variant>
      <vt:variant>
        <vt:i4>986</vt:i4>
      </vt:variant>
      <vt:variant>
        <vt:i4>0</vt:i4>
      </vt:variant>
      <vt:variant>
        <vt:i4>5</vt:i4>
      </vt:variant>
      <vt:variant>
        <vt:lpwstr/>
      </vt:variant>
      <vt:variant>
        <vt:lpwstr>_Toc380052031</vt:lpwstr>
      </vt:variant>
      <vt:variant>
        <vt:i4>1966134</vt:i4>
      </vt:variant>
      <vt:variant>
        <vt:i4>980</vt:i4>
      </vt:variant>
      <vt:variant>
        <vt:i4>0</vt:i4>
      </vt:variant>
      <vt:variant>
        <vt:i4>5</vt:i4>
      </vt:variant>
      <vt:variant>
        <vt:lpwstr/>
      </vt:variant>
      <vt:variant>
        <vt:lpwstr>_Toc380052030</vt:lpwstr>
      </vt:variant>
      <vt:variant>
        <vt:i4>2031670</vt:i4>
      </vt:variant>
      <vt:variant>
        <vt:i4>974</vt:i4>
      </vt:variant>
      <vt:variant>
        <vt:i4>0</vt:i4>
      </vt:variant>
      <vt:variant>
        <vt:i4>5</vt:i4>
      </vt:variant>
      <vt:variant>
        <vt:lpwstr/>
      </vt:variant>
      <vt:variant>
        <vt:lpwstr>_Toc380052029</vt:lpwstr>
      </vt:variant>
      <vt:variant>
        <vt:i4>2031670</vt:i4>
      </vt:variant>
      <vt:variant>
        <vt:i4>968</vt:i4>
      </vt:variant>
      <vt:variant>
        <vt:i4>0</vt:i4>
      </vt:variant>
      <vt:variant>
        <vt:i4>5</vt:i4>
      </vt:variant>
      <vt:variant>
        <vt:lpwstr/>
      </vt:variant>
      <vt:variant>
        <vt:lpwstr>_Toc380052028</vt:lpwstr>
      </vt:variant>
      <vt:variant>
        <vt:i4>2031670</vt:i4>
      </vt:variant>
      <vt:variant>
        <vt:i4>962</vt:i4>
      </vt:variant>
      <vt:variant>
        <vt:i4>0</vt:i4>
      </vt:variant>
      <vt:variant>
        <vt:i4>5</vt:i4>
      </vt:variant>
      <vt:variant>
        <vt:lpwstr/>
      </vt:variant>
      <vt:variant>
        <vt:lpwstr>_Toc380052027</vt:lpwstr>
      </vt:variant>
      <vt:variant>
        <vt:i4>2031670</vt:i4>
      </vt:variant>
      <vt:variant>
        <vt:i4>956</vt:i4>
      </vt:variant>
      <vt:variant>
        <vt:i4>0</vt:i4>
      </vt:variant>
      <vt:variant>
        <vt:i4>5</vt:i4>
      </vt:variant>
      <vt:variant>
        <vt:lpwstr/>
      </vt:variant>
      <vt:variant>
        <vt:lpwstr>_Toc380052026</vt:lpwstr>
      </vt:variant>
      <vt:variant>
        <vt:i4>2031670</vt:i4>
      </vt:variant>
      <vt:variant>
        <vt:i4>950</vt:i4>
      </vt:variant>
      <vt:variant>
        <vt:i4>0</vt:i4>
      </vt:variant>
      <vt:variant>
        <vt:i4>5</vt:i4>
      </vt:variant>
      <vt:variant>
        <vt:lpwstr/>
      </vt:variant>
      <vt:variant>
        <vt:lpwstr>_Toc380052025</vt:lpwstr>
      </vt:variant>
      <vt:variant>
        <vt:i4>2031670</vt:i4>
      </vt:variant>
      <vt:variant>
        <vt:i4>944</vt:i4>
      </vt:variant>
      <vt:variant>
        <vt:i4>0</vt:i4>
      </vt:variant>
      <vt:variant>
        <vt:i4>5</vt:i4>
      </vt:variant>
      <vt:variant>
        <vt:lpwstr/>
      </vt:variant>
      <vt:variant>
        <vt:lpwstr>_Toc380052024</vt:lpwstr>
      </vt:variant>
      <vt:variant>
        <vt:i4>2031670</vt:i4>
      </vt:variant>
      <vt:variant>
        <vt:i4>938</vt:i4>
      </vt:variant>
      <vt:variant>
        <vt:i4>0</vt:i4>
      </vt:variant>
      <vt:variant>
        <vt:i4>5</vt:i4>
      </vt:variant>
      <vt:variant>
        <vt:lpwstr/>
      </vt:variant>
      <vt:variant>
        <vt:lpwstr>_Toc380052023</vt:lpwstr>
      </vt:variant>
      <vt:variant>
        <vt:i4>2031670</vt:i4>
      </vt:variant>
      <vt:variant>
        <vt:i4>932</vt:i4>
      </vt:variant>
      <vt:variant>
        <vt:i4>0</vt:i4>
      </vt:variant>
      <vt:variant>
        <vt:i4>5</vt:i4>
      </vt:variant>
      <vt:variant>
        <vt:lpwstr/>
      </vt:variant>
      <vt:variant>
        <vt:lpwstr>_Toc380052022</vt:lpwstr>
      </vt:variant>
      <vt:variant>
        <vt:i4>2031670</vt:i4>
      </vt:variant>
      <vt:variant>
        <vt:i4>926</vt:i4>
      </vt:variant>
      <vt:variant>
        <vt:i4>0</vt:i4>
      </vt:variant>
      <vt:variant>
        <vt:i4>5</vt:i4>
      </vt:variant>
      <vt:variant>
        <vt:lpwstr/>
      </vt:variant>
      <vt:variant>
        <vt:lpwstr>_Toc380052021</vt:lpwstr>
      </vt:variant>
      <vt:variant>
        <vt:i4>2031670</vt:i4>
      </vt:variant>
      <vt:variant>
        <vt:i4>920</vt:i4>
      </vt:variant>
      <vt:variant>
        <vt:i4>0</vt:i4>
      </vt:variant>
      <vt:variant>
        <vt:i4>5</vt:i4>
      </vt:variant>
      <vt:variant>
        <vt:lpwstr/>
      </vt:variant>
      <vt:variant>
        <vt:lpwstr>_Toc380052020</vt:lpwstr>
      </vt:variant>
      <vt:variant>
        <vt:i4>1835062</vt:i4>
      </vt:variant>
      <vt:variant>
        <vt:i4>914</vt:i4>
      </vt:variant>
      <vt:variant>
        <vt:i4>0</vt:i4>
      </vt:variant>
      <vt:variant>
        <vt:i4>5</vt:i4>
      </vt:variant>
      <vt:variant>
        <vt:lpwstr/>
      </vt:variant>
      <vt:variant>
        <vt:lpwstr>_Toc380052019</vt:lpwstr>
      </vt:variant>
      <vt:variant>
        <vt:i4>1835062</vt:i4>
      </vt:variant>
      <vt:variant>
        <vt:i4>908</vt:i4>
      </vt:variant>
      <vt:variant>
        <vt:i4>0</vt:i4>
      </vt:variant>
      <vt:variant>
        <vt:i4>5</vt:i4>
      </vt:variant>
      <vt:variant>
        <vt:lpwstr/>
      </vt:variant>
      <vt:variant>
        <vt:lpwstr>_Toc380052018</vt:lpwstr>
      </vt:variant>
      <vt:variant>
        <vt:i4>1835062</vt:i4>
      </vt:variant>
      <vt:variant>
        <vt:i4>902</vt:i4>
      </vt:variant>
      <vt:variant>
        <vt:i4>0</vt:i4>
      </vt:variant>
      <vt:variant>
        <vt:i4>5</vt:i4>
      </vt:variant>
      <vt:variant>
        <vt:lpwstr/>
      </vt:variant>
      <vt:variant>
        <vt:lpwstr>_Toc380052017</vt:lpwstr>
      </vt:variant>
      <vt:variant>
        <vt:i4>1835062</vt:i4>
      </vt:variant>
      <vt:variant>
        <vt:i4>896</vt:i4>
      </vt:variant>
      <vt:variant>
        <vt:i4>0</vt:i4>
      </vt:variant>
      <vt:variant>
        <vt:i4>5</vt:i4>
      </vt:variant>
      <vt:variant>
        <vt:lpwstr/>
      </vt:variant>
      <vt:variant>
        <vt:lpwstr>_Toc380052016</vt:lpwstr>
      </vt:variant>
      <vt:variant>
        <vt:i4>1835062</vt:i4>
      </vt:variant>
      <vt:variant>
        <vt:i4>890</vt:i4>
      </vt:variant>
      <vt:variant>
        <vt:i4>0</vt:i4>
      </vt:variant>
      <vt:variant>
        <vt:i4>5</vt:i4>
      </vt:variant>
      <vt:variant>
        <vt:lpwstr/>
      </vt:variant>
      <vt:variant>
        <vt:lpwstr>_Toc380052015</vt:lpwstr>
      </vt:variant>
      <vt:variant>
        <vt:i4>1835062</vt:i4>
      </vt:variant>
      <vt:variant>
        <vt:i4>884</vt:i4>
      </vt:variant>
      <vt:variant>
        <vt:i4>0</vt:i4>
      </vt:variant>
      <vt:variant>
        <vt:i4>5</vt:i4>
      </vt:variant>
      <vt:variant>
        <vt:lpwstr/>
      </vt:variant>
      <vt:variant>
        <vt:lpwstr>_Toc380052014</vt:lpwstr>
      </vt:variant>
      <vt:variant>
        <vt:i4>1835062</vt:i4>
      </vt:variant>
      <vt:variant>
        <vt:i4>878</vt:i4>
      </vt:variant>
      <vt:variant>
        <vt:i4>0</vt:i4>
      </vt:variant>
      <vt:variant>
        <vt:i4>5</vt:i4>
      </vt:variant>
      <vt:variant>
        <vt:lpwstr/>
      </vt:variant>
      <vt:variant>
        <vt:lpwstr>_Toc380052013</vt:lpwstr>
      </vt:variant>
      <vt:variant>
        <vt:i4>1835062</vt:i4>
      </vt:variant>
      <vt:variant>
        <vt:i4>872</vt:i4>
      </vt:variant>
      <vt:variant>
        <vt:i4>0</vt:i4>
      </vt:variant>
      <vt:variant>
        <vt:i4>5</vt:i4>
      </vt:variant>
      <vt:variant>
        <vt:lpwstr/>
      </vt:variant>
      <vt:variant>
        <vt:lpwstr>_Toc380052012</vt:lpwstr>
      </vt:variant>
      <vt:variant>
        <vt:i4>1835062</vt:i4>
      </vt:variant>
      <vt:variant>
        <vt:i4>866</vt:i4>
      </vt:variant>
      <vt:variant>
        <vt:i4>0</vt:i4>
      </vt:variant>
      <vt:variant>
        <vt:i4>5</vt:i4>
      </vt:variant>
      <vt:variant>
        <vt:lpwstr/>
      </vt:variant>
      <vt:variant>
        <vt:lpwstr>_Toc380052011</vt:lpwstr>
      </vt:variant>
      <vt:variant>
        <vt:i4>1835062</vt:i4>
      </vt:variant>
      <vt:variant>
        <vt:i4>860</vt:i4>
      </vt:variant>
      <vt:variant>
        <vt:i4>0</vt:i4>
      </vt:variant>
      <vt:variant>
        <vt:i4>5</vt:i4>
      </vt:variant>
      <vt:variant>
        <vt:lpwstr/>
      </vt:variant>
      <vt:variant>
        <vt:lpwstr>_Toc380052010</vt:lpwstr>
      </vt:variant>
      <vt:variant>
        <vt:i4>1900598</vt:i4>
      </vt:variant>
      <vt:variant>
        <vt:i4>854</vt:i4>
      </vt:variant>
      <vt:variant>
        <vt:i4>0</vt:i4>
      </vt:variant>
      <vt:variant>
        <vt:i4>5</vt:i4>
      </vt:variant>
      <vt:variant>
        <vt:lpwstr/>
      </vt:variant>
      <vt:variant>
        <vt:lpwstr>_Toc380052009</vt:lpwstr>
      </vt:variant>
      <vt:variant>
        <vt:i4>1900598</vt:i4>
      </vt:variant>
      <vt:variant>
        <vt:i4>848</vt:i4>
      </vt:variant>
      <vt:variant>
        <vt:i4>0</vt:i4>
      </vt:variant>
      <vt:variant>
        <vt:i4>5</vt:i4>
      </vt:variant>
      <vt:variant>
        <vt:lpwstr/>
      </vt:variant>
      <vt:variant>
        <vt:lpwstr>_Toc380052008</vt:lpwstr>
      </vt:variant>
      <vt:variant>
        <vt:i4>1900598</vt:i4>
      </vt:variant>
      <vt:variant>
        <vt:i4>842</vt:i4>
      </vt:variant>
      <vt:variant>
        <vt:i4>0</vt:i4>
      </vt:variant>
      <vt:variant>
        <vt:i4>5</vt:i4>
      </vt:variant>
      <vt:variant>
        <vt:lpwstr/>
      </vt:variant>
      <vt:variant>
        <vt:lpwstr>_Toc380052007</vt:lpwstr>
      </vt:variant>
      <vt:variant>
        <vt:i4>1900598</vt:i4>
      </vt:variant>
      <vt:variant>
        <vt:i4>836</vt:i4>
      </vt:variant>
      <vt:variant>
        <vt:i4>0</vt:i4>
      </vt:variant>
      <vt:variant>
        <vt:i4>5</vt:i4>
      </vt:variant>
      <vt:variant>
        <vt:lpwstr/>
      </vt:variant>
      <vt:variant>
        <vt:lpwstr>_Toc380052006</vt:lpwstr>
      </vt:variant>
      <vt:variant>
        <vt:i4>1900598</vt:i4>
      </vt:variant>
      <vt:variant>
        <vt:i4>830</vt:i4>
      </vt:variant>
      <vt:variant>
        <vt:i4>0</vt:i4>
      </vt:variant>
      <vt:variant>
        <vt:i4>5</vt:i4>
      </vt:variant>
      <vt:variant>
        <vt:lpwstr/>
      </vt:variant>
      <vt:variant>
        <vt:lpwstr>_Toc380052005</vt:lpwstr>
      </vt:variant>
      <vt:variant>
        <vt:i4>1900598</vt:i4>
      </vt:variant>
      <vt:variant>
        <vt:i4>824</vt:i4>
      </vt:variant>
      <vt:variant>
        <vt:i4>0</vt:i4>
      </vt:variant>
      <vt:variant>
        <vt:i4>5</vt:i4>
      </vt:variant>
      <vt:variant>
        <vt:lpwstr/>
      </vt:variant>
      <vt:variant>
        <vt:lpwstr>_Toc380052004</vt:lpwstr>
      </vt:variant>
      <vt:variant>
        <vt:i4>1900598</vt:i4>
      </vt:variant>
      <vt:variant>
        <vt:i4>818</vt:i4>
      </vt:variant>
      <vt:variant>
        <vt:i4>0</vt:i4>
      </vt:variant>
      <vt:variant>
        <vt:i4>5</vt:i4>
      </vt:variant>
      <vt:variant>
        <vt:lpwstr/>
      </vt:variant>
      <vt:variant>
        <vt:lpwstr>_Toc380052003</vt:lpwstr>
      </vt:variant>
      <vt:variant>
        <vt:i4>1572927</vt:i4>
      </vt:variant>
      <vt:variant>
        <vt:i4>809</vt:i4>
      </vt:variant>
      <vt:variant>
        <vt:i4>0</vt:i4>
      </vt:variant>
      <vt:variant>
        <vt:i4>5</vt:i4>
      </vt:variant>
      <vt:variant>
        <vt:lpwstr/>
      </vt:variant>
      <vt:variant>
        <vt:lpwstr>_Toc380051966</vt:lpwstr>
      </vt:variant>
      <vt:variant>
        <vt:i4>1572927</vt:i4>
      </vt:variant>
      <vt:variant>
        <vt:i4>803</vt:i4>
      </vt:variant>
      <vt:variant>
        <vt:i4>0</vt:i4>
      </vt:variant>
      <vt:variant>
        <vt:i4>5</vt:i4>
      </vt:variant>
      <vt:variant>
        <vt:lpwstr/>
      </vt:variant>
      <vt:variant>
        <vt:lpwstr>_Toc380051965</vt:lpwstr>
      </vt:variant>
      <vt:variant>
        <vt:i4>1572927</vt:i4>
      </vt:variant>
      <vt:variant>
        <vt:i4>797</vt:i4>
      </vt:variant>
      <vt:variant>
        <vt:i4>0</vt:i4>
      </vt:variant>
      <vt:variant>
        <vt:i4>5</vt:i4>
      </vt:variant>
      <vt:variant>
        <vt:lpwstr/>
      </vt:variant>
      <vt:variant>
        <vt:lpwstr>_Toc380051964</vt:lpwstr>
      </vt:variant>
      <vt:variant>
        <vt:i4>1572927</vt:i4>
      </vt:variant>
      <vt:variant>
        <vt:i4>791</vt:i4>
      </vt:variant>
      <vt:variant>
        <vt:i4>0</vt:i4>
      </vt:variant>
      <vt:variant>
        <vt:i4>5</vt:i4>
      </vt:variant>
      <vt:variant>
        <vt:lpwstr/>
      </vt:variant>
      <vt:variant>
        <vt:lpwstr>_Toc380051963</vt:lpwstr>
      </vt:variant>
      <vt:variant>
        <vt:i4>1572927</vt:i4>
      </vt:variant>
      <vt:variant>
        <vt:i4>785</vt:i4>
      </vt:variant>
      <vt:variant>
        <vt:i4>0</vt:i4>
      </vt:variant>
      <vt:variant>
        <vt:i4>5</vt:i4>
      </vt:variant>
      <vt:variant>
        <vt:lpwstr/>
      </vt:variant>
      <vt:variant>
        <vt:lpwstr>_Toc380051962</vt:lpwstr>
      </vt:variant>
      <vt:variant>
        <vt:i4>1572927</vt:i4>
      </vt:variant>
      <vt:variant>
        <vt:i4>779</vt:i4>
      </vt:variant>
      <vt:variant>
        <vt:i4>0</vt:i4>
      </vt:variant>
      <vt:variant>
        <vt:i4>5</vt:i4>
      </vt:variant>
      <vt:variant>
        <vt:lpwstr/>
      </vt:variant>
      <vt:variant>
        <vt:lpwstr>_Toc380051961</vt:lpwstr>
      </vt:variant>
      <vt:variant>
        <vt:i4>1572927</vt:i4>
      </vt:variant>
      <vt:variant>
        <vt:i4>773</vt:i4>
      </vt:variant>
      <vt:variant>
        <vt:i4>0</vt:i4>
      </vt:variant>
      <vt:variant>
        <vt:i4>5</vt:i4>
      </vt:variant>
      <vt:variant>
        <vt:lpwstr/>
      </vt:variant>
      <vt:variant>
        <vt:lpwstr>_Toc380051960</vt:lpwstr>
      </vt:variant>
      <vt:variant>
        <vt:i4>1769535</vt:i4>
      </vt:variant>
      <vt:variant>
        <vt:i4>767</vt:i4>
      </vt:variant>
      <vt:variant>
        <vt:i4>0</vt:i4>
      </vt:variant>
      <vt:variant>
        <vt:i4>5</vt:i4>
      </vt:variant>
      <vt:variant>
        <vt:lpwstr/>
      </vt:variant>
      <vt:variant>
        <vt:lpwstr>_Toc380051959</vt:lpwstr>
      </vt:variant>
      <vt:variant>
        <vt:i4>1769535</vt:i4>
      </vt:variant>
      <vt:variant>
        <vt:i4>761</vt:i4>
      </vt:variant>
      <vt:variant>
        <vt:i4>0</vt:i4>
      </vt:variant>
      <vt:variant>
        <vt:i4>5</vt:i4>
      </vt:variant>
      <vt:variant>
        <vt:lpwstr/>
      </vt:variant>
      <vt:variant>
        <vt:lpwstr>_Toc380051958</vt:lpwstr>
      </vt:variant>
      <vt:variant>
        <vt:i4>1769535</vt:i4>
      </vt:variant>
      <vt:variant>
        <vt:i4>755</vt:i4>
      </vt:variant>
      <vt:variant>
        <vt:i4>0</vt:i4>
      </vt:variant>
      <vt:variant>
        <vt:i4>5</vt:i4>
      </vt:variant>
      <vt:variant>
        <vt:lpwstr/>
      </vt:variant>
      <vt:variant>
        <vt:lpwstr>_Toc380051957</vt:lpwstr>
      </vt:variant>
      <vt:variant>
        <vt:i4>1769535</vt:i4>
      </vt:variant>
      <vt:variant>
        <vt:i4>749</vt:i4>
      </vt:variant>
      <vt:variant>
        <vt:i4>0</vt:i4>
      </vt:variant>
      <vt:variant>
        <vt:i4>5</vt:i4>
      </vt:variant>
      <vt:variant>
        <vt:lpwstr/>
      </vt:variant>
      <vt:variant>
        <vt:lpwstr>_Toc380051956</vt:lpwstr>
      </vt:variant>
      <vt:variant>
        <vt:i4>1769535</vt:i4>
      </vt:variant>
      <vt:variant>
        <vt:i4>743</vt:i4>
      </vt:variant>
      <vt:variant>
        <vt:i4>0</vt:i4>
      </vt:variant>
      <vt:variant>
        <vt:i4>5</vt:i4>
      </vt:variant>
      <vt:variant>
        <vt:lpwstr/>
      </vt:variant>
      <vt:variant>
        <vt:lpwstr>_Toc380051955</vt:lpwstr>
      </vt:variant>
      <vt:variant>
        <vt:i4>1769535</vt:i4>
      </vt:variant>
      <vt:variant>
        <vt:i4>737</vt:i4>
      </vt:variant>
      <vt:variant>
        <vt:i4>0</vt:i4>
      </vt:variant>
      <vt:variant>
        <vt:i4>5</vt:i4>
      </vt:variant>
      <vt:variant>
        <vt:lpwstr/>
      </vt:variant>
      <vt:variant>
        <vt:lpwstr>_Toc380051954</vt:lpwstr>
      </vt:variant>
      <vt:variant>
        <vt:i4>1769535</vt:i4>
      </vt:variant>
      <vt:variant>
        <vt:i4>731</vt:i4>
      </vt:variant>
      <vt:variant>
        <vt:i4>0</vt:i4>
      </vt:variant>
      <vt:variant>
        <vt:i4>5</vt:i4>
      </vt:variant>
      <vt:variant>
        <vt:lpwstr/>
      </vt:variant>
      <vt:variant>
        <vt:lpwstr>_Toc380051953</vt:lpwstr>
      </vt:variant>
      <vt:variant>
        <vt:i4>1769535</vt:i4>
      </vt:variant>
      <vt:variant>
        <vt:i4>725</vt:i4>
      </vt:variant>
      <vt:variant>
        <vt:i4>0</vt:i4>
      </vt:variant>
      <vt:variant>
        <vt:i4>5</vt:i4>
      </vt:variant>
      <vt:variant>
        <vt:lpwstr/>
      </vt:variant>
      <vt:variant>
        <vt:lpwstr>_Toc380051952</vt:lpwstr>
      </vt:variant>
      <vt:variant>
        <vt:i4>1769535</vt:i4>
      </vt:variant>
      <vt:variant>
        <vt:i4>719</vt:i4>
      </vt:variant>
      <vt:variant>
        <vt:i4>0</vt:i4>
      </vt:variant>
      <vt:variant>
        <vt:i4>5</vt:i4>
      </vt:variant>
      <vt:variant>
        <vt:lpwstr/>
      </vt:variant>
      <vt:variant>
        <vt:lpwstr>_Toc380051951</vt:lpwstr>
      </vt:variant>
      <vt:variant>
        <vt:i4>1769535</vt:i4>
      </vt:variant>
      <vt:variant>
        <vt:i4>713</vt:i4>
      </vt:variant>
      <vt:variant>
        <vt:i4>0</vt:i4>
      </vt:variant>
      <vt:variant>
        <vt:i4>5</vt:i4>
      </vt:variant>
      <vt:variant>
        <vt:lpwstr/>
      </vt:variant>
      <vt:variant>
        <vt:lpwstr>_Toc380051950</vt:lpwstr>
      </vt:variant>
      <vt:variant>
        <vt:i4>1703999</vt:i4>
      </vt:variant>
      <vt:variant>
        <vt:i4>707</vt:i4>
      </vt:variant>
      <vt:variant>
        <vt:i4>0</vt:i4>
      </vt:variant>
      <vt:variant>
        <vt:i4>5</vt:i4>
      </vt:variant>
      <vt:variant>
        <vt:lpwstr/>
      </vt:variant>
      <vt:variant>
        <vt:lpwstr>_Toc380051949</vt:lpwstr>
      </vt:variant>
      <vt:variant>
        <vt:i4>1703999</vt:i4>
      </vt:variant>
      <vt:variant>
        <vt:i4>701</vt:i4>
      </vt:variant>
      <vt:variant>
        <vt:i4>0</vt:i4>
      </vt:variant>
      <vt:variant>
        <vt:i4>5</vt:i4>
      </vt:variant>
      <vt:variant>
        <vt:lpwstr/>
      </vt:variant>
      <vt:variant>
        <vt:lpwstr>_Toc380051948</vt:lpwstr>
      </vt:variant>
      <vt:variant>
        <vt:i4>1703999</vt:i4>
      </vt:variant>
      <vt:variant>
        <vt:i4>695</vt:i4>
      </vt:variant>
      <vt:variant>
        <vt:i4>0</vt:i4>
      </vt:variant>
      <vt:variant>
        <vt:i4>5</vt:i4>
      </vt:variant>
      <vt:variant>
        <vt:lpwstr/>
      </vt:variant>
      <vt:variant>
        <vt:lpwstr>_Toc380051947</vt:lpwstr>
      </vt:variant>
      <vt:variant>
        <vt:i4>1703999</vt:i4>
      </vt:variant>
      <vt:variant>
        <vt:i4>689</vt:i4>
      </vt:variant>
      <vt:variant>
        <vt:i4>0</vt:i4>
      </vt:variant>
      <vt:variant>
        <vt:i4>5</vt:i4>
      </vt:variant>
      <vt:variant>
        <vt:lpwstr/>
      </vt:variant>
      <vt:variant>
        <vt:lpwstr>_Toc380051946</vt:lpwstr>
      </vt:variant>
      <vt:variant>
        <vt:i4>1703999</vt:i4>
      </vt:variant>
      <vt:variant>
        <vt:i4>683</vt:i4>
      </vt:variant>
      <vt:variant>
        <vt:i4>0</vt:i4>
      </vt:variant>
      <vt:variant>
        <vt:i4>5</vt:i4>
      </vt:variant>
      <vt:variant>
        <vt:lpwstr/>
      </vt:variant>
      <vt:variant>
        <vt:lpwstr>_Toc380051945</vt:lpwstr>
      </vt:variant>
      <vt:variant>
        <vt:i4>1703999</vt:i4>
      </vt:variant>
      <vt:variant>
        <vt:i4>677</vt:i4>
      </vt:variant>
      <vt:variant>
        <vt:i4>0</vt:i4>
      </vt:variant>
      <vt:variant>
        <vt:i4>5</vt:i4>
      </vt:variant>
      <vt:variant>
        <vt:lpwstr/>
      </vt:variant>
      <vt:variant>
        <vt:lpwstr>_Toc380051944</vt:lpwstr>
      </vt:variant>
      <vt:variant>
        <vt:i4>1703999</vt:i4>
      </vt:variant>
      <vt:variant>
        <vt:i4>671</vt:i4>
      </vt:variant>
      <vt:variant>
        <vt:i4>0</vt:i4>
      </vt:variant>
      <vt:variant>
        <vt:i4>5</vt:i4>
      </vt:variant>
      <vt:variant>
        <vt:lpwstr/>
      </vt:variant>
      <vt:variant>
        <vt:lpwstr>_Toc380051943</vt:lpwstr>
      </vt:variant>
      <vt:variant>
        <vt:i4>1703999</vt:i4>
      </vt:variant>
      <vt:variant>
        <vt:i4>665</vt:i4>
      </vt:variant>
      <vt:variant>
        <vt:i4>0</vt:i4>
      </vt:variant>
      <vt:variant>
        <vt:i4>5</vt:i4>
      </vt:variant>
      <vt:variant>
        <vt:lpwstr/>
      </vt:variant>
      <vt:variant>
        <vt:lpwstr>_Toc380051942</vt:lpwstr>
      </vt:variant>
      <vt:variant>
        <vt:i4>1703999</vt:i4>
      </vt:variant>
      <vt:variant>
        <vt:i4>659</vt:i4>
      </vt:variant>
      <vt:variant>
        <vt:i4>0</vt:i4>
      </vt:variant>
      <vt:variant>
        <vt:i4>5</vt:i4>
      </vt:variant>
      <vt:variant>
        <vt:lpwstr/>
      </vt:variant>
      <vt:variant>
        <vt:lpwstr>_Toc380051941</vt:lpwstr>
      </vt:variant>
      <vt:variant>
        <vt:i4>1703999</vt:i4>
      </vt:variant>
      <vt:variant>
        <vt:i4>653</vt:i4>
      </vt:variant>
      <vt:variant>
        <vt:i4>0</vt:i4>
      </vt:variant>
      <vt:variant>
        <vt:i4>5</vt:i4>
      </vt:variant>
      <vt:variant>
        <vt:lpwstr/>
      </vt:variant>
      <vt:variant>
        <vt:lpwstr>_Toc380051940</vt:lpwstr>
      </vt:variant>
      <vt:variant>
        <vt:i4>1900607</vt:i4>
      </vt:variant>
      <vt:variant>
        <vt:i4>647</vt:i4>
      </vt:variant>
      <vt:variant>
        <vt:i4>0</vt:i4>
      </vt:variant>
      <vt:variant>
        <vt:i4>5</vt:i4>
      </vt:variant>
      <vt:variant>
        <vt:lpwstr/>
      </vt:variant>
      <vt:variant>
        <vt:lpwstr>_Toc380051939</vt:lpwstr>
      </vt:variant>
      <vt:variant>
        <vt:i4>1900607</vt:i4>
      </vt:variant>
      <vt:variant>
        <vt:i4>641</vt:i4>
      </vt:variant>
      <vt:variant>
        <vt:i4>0</vt:i4>
      </vt:variant>
      <vt:variant>
        <vt:i4>5</vt:i4>
      </vt:variant>
      <vt:variant>
        <vt:lpwstr/>
      </vt:variant>
      <vt:variant>
        <vt:lpwstr>_Toc380051938</vt:lpwstr>
      </vt:variant>
      <vt:variant>
        <vt:i4>1900607</vt:i4>
      </vt:variant>
      <vt:variant>
        <vt:i4>635</vt:i4>
      </vt:variant>
      <vt:variant>
        <vt:i4>0</vt:i4>
      </vt:variant>
      <vt:variant>
        <vt:i4>5</vt:i4>
      </vt:variant>
      <vt:variant>
        <vt:lpwstr/>
      </vt:variant>
      <vt:variant>
        <vt:lpwstr>_Toc380051937</vt:lpwstr>
      </vt:variant>
      <vt:variant>
        <vt:i4>1900607</vt:i4>
      </vt:variant>
      <vt:variant>
        <vt:i4>629</vt:i4>
      </vt:variant>
      <vt:variant>
        <vt:i4>0</vt:i4>
      </vt:variant>
      <vt:variant>
        <vt:i4>5</vt:i4>
      </vt:variant>
      <vt:variant>
        <vt:lpwstr/>
      </vt:variant>
      <vt:variant>
        <vt:lpwstr>_Toc380051936</vt:lpwstr>
      </vt:variant>
      <vt:variant>
        <vt:i4>1900607</vt:i4>
      </vt:variant>
      <vt:variant>
        <vt:i4>623</vt:i4>
      </vt:variant>
      <vt:variant>
        <vt:i4>0</vt:i4>
      </vt:variant>
      <vt:variant>
        <vt:i4>5</vt:i4>
      </vt:variant>
      <vt:variant>
        <vt:lpwstr/>
      </vt:variant>
      <vt:variant>
        <vt:lpwstr>_Toc380051935</vt:lpwstr>
      </vt:variant>
      <vt:variant>
        <vt:i4>1900607</vt:i4>
      </vt:variant>
      <vt:variant>
        <vt:i4>617</vt:i4>
      </vt:variant>
      <vt:variant>
        <vt:i4>0</vt:i4>
      </vt:variant>
      <vt:variant>
        <vt:i4>5</vt:i4>
      </vt:variant>
      <vt:variant>
        <vt:lpwstr/>
      </vt:variant>
      <vt:variant>
        <vt:lpwstr>_Toc380051934</vt:lpwstr>
      </vt:variant>
      <vt:variant>
        <vt:i4>1900607</vt:i4>
      </vt:variant>
      <vt:variant>
        <vt:i4>611</vt:i4>
      </vt:variant>
      <vt:variant>
        <vt:i4>0</vt:i4>
      </vt:variant>
      <vt:variant>
        <vt:i4>5</vt:i4>
      </vt:variant>
      <vt:variant>
        <vt:lpwstr/>
      </vt:variant>
      <vt:variant>
        <vt:lpwstr>_Toc380051933</vt:lpwstr>
      </vt:variant>
      <vt:variant>
        <vt:i4>1900607</vt:i4>
      </vt:variant>
      <vt:variant>
        <vt:i4>605</vt:i4>
      </vt:variant>
      <vt:variant>
        <vt:i4>0</vt:i4>
      </vt:variant>
      <vt:variant>
        <vt:i4>5</vt:i4>
      </vt:variant>
      <vt:variant>
        <vt:lpwstr/>
      </vt:variant>
      <vt:variant>
        <vt:lpwstr>_Toc380051932</vt:lpwstr>
      </vt:variant>
      <vt:variant>
        <vt:i4>1900607</vt:i4>
      </vt:variant>
      <vt:variant>
        <vt:i4>599</vt:i4>
      </vt:variant>
      <vt:variant>
        <vt:i4>0</vt:i4>
      </vt:variant>
      <vt:variant>
        <vt:i4>5</vt:i4>
      </vt:variant>
      <vt:variant>
        <vt:lpwstr/>
      </vt:variant>
      <vt:variant>
        <vt:lpwstr>_Toc380051931</vt:lpwstr>
      </vt:variant>
      <vt:variant>
        <vt:i4>1900607</vt:i4>
      </vt:variant>
      <vt:variant>
        <vt:i4>593</vt:i4>
      </vt:variant>
      <vt:variant>
        <vt:i4>0</vt:i4>
      </vt:variant>
      <vt:variant>
        <vt:i4>5</vt:i4>
      </vt:variant>
      <vt:variant>
        <vt:lpwstr/>
      </vt:variant>
      <vt:variant>
        <vt:lpwstr>_Toc380051930</vt:lpwstr>
      </vt:variant>
      <vt:variant>
        <vt:i4>1835071</vt:i4>
      </vt:variant>
      <vt:variant>
        <vt:i4>587</vt:i4>
      </vt:variant>
      <vt:variant>
        <vt:i4>0</vt:i4>
      </vt:variant>
      <vt:variant>
        <vt:i4>5</vt:i4>
      </vt:variant>
      <vt:variant>
        <vt:lpwstr/>
      </vt:variant>
      <vt:variant>
        <vt:lpwstr>_Toc380051929</vt:lpwstr>
      </vt:variant>
      <vt:variant>
        <vt:i4>1835071</vt:i4>
      </vt:variant>
      <vt:variant>
        <vt:i4>581</vt:i4>
      </vt:variant>
      <vt:variant>
        <vt:i4>0</vt:i4>
      </vt:variant>
      <vt:variant>
        <vt:i4>5</vt:i4>
      </vt:variant>
      <vt:variant>
        <vt:lpwstr/>
      </vt:variant>
      <vt:variant>
        <vt:lpwstr>_Toc380051928</vt:lpwstr>
      </vt:variant>
      <vt:variant>
        <vt:i4>1835071</vt:i4>
      </vt:variant>
      <vt:variant>
        <vt:i4>575</vt:i4>
      </vt:variant>
      <vt:variant>
        <vt:i4>0</vt:i4>
      </vt:variant>
      <vt:variant>
        <vt:i4>5</vt:i4>
      </vt:variant>
      <vt:variant>
        <vt:lpwstr/>
      </vt:variant>
      <vt:variant>
        <vt:lpwstr>_Toc380051927</vt:lpwstr>
      </vt:variant>
      <vt:variant>
        <vt:i4>1835071</vt:i4>
      </vt:variant>
      <vt:variant>
        <vt:i4>569</vt:i4>
      </vt:variant>
      <vt:variant>
        <vt:i4>0</vt:i4>
      </vt:variant>
      <vt:variant>
        <vt:i4>5</vt:i4>
      </vt:variant>
      <vt:variant>
        <vt:lpwstr/>
      </vt:variant>
      <vt:variant>
        <vt:lpwstr>_Toc380051926</vt:lpwstr>
      </vt:variant>
      <vt:variant>
        <vt:i4>1835071</vt:i4>
      </vt:variant>
      <vt:variant>
        <vt:i4>563</vt:i4>
      </vt:variant>
      <vt:variant>
        <vt:i4>0</vt:i4>
      </vt:variant>
      <vt:variant>
        <vt:i4>5</vt:i4>
      </vt:variant>
      <vt:variant>
        <vt:lpwstr/>
      </vt:variant>
      <vt:variant>
        <vt:lpwstr>_Toc380051925</vt:lpwstr>
      </vt:variant>
      <vt:variant>
        <vt:i4>1835071</vt:i4>
      </vt:variant>
      <vt:variant>
        <vt:i4>557</vt:i4>
      </vt:variant>
      <vt:variant>
        <vt:i4>0</vt:i4>
      </vt:variant>
      <vt:variant>
        <vt:i4>5</vt:i4>
      </vt:variant>
      <vt:variant>
        <vt:lpwstr/>
      </vt:variant>
      <vt:variant>
        <vt:lpwstr>_Toc380051924</vt:lpwstr>
      </vt:variant>
      <vt:variant>
        <vt:i4>1835071</vt:i4>
      </vt:variant>
      <vt:variant>
        <vt:i4>551</vt:i4>
      </vt:variant>
      <vt:variant>
        <vt:i4>0</vt:i4>
      </vt:variant>
      <vt:variant>
        <vt:i4>5</vt:i4>
      </vt:variant>
      <vt:variant>
        <vt:lpwstr/>
      </vt:variant>
      <vt:variant>
        <vt:lpwstr>_Toc380051923</vt:lpwstr>
      </vt:variant>
      <vt:variant>
        <vt:i4>1835071</vt:i4>
      </vt:variant>
      <vt:variant>
        <vt:i4>545</vt:i4>
      </vt:variant>
      <vt:variant>
        <vt:i4>0</vt:i4>
      </vt:variant>
      <vt:variant>
        <vt:i4>5</vt:i4>
      </vt:variant>
      <vt:variant>
        <vt:lpwstr/>
      </vt:variant>
      <vt:variant>
        <vt:lpwstr>_Toc380051922</vt:lpwstr>
      </vt:variant>
      <vt:variant>
        <vt:i4>1835071</vt:i4>
      </vt:variant>
      <vt:variant>
        <vt:i4>539</vt:i4>
      </vt:variant>
      <vt:variant>
        <vt:i4>0</vt:i4>
      </vt:variant>
      <vt:variant>
        <vt:i4>5</vt:i4>
      </vt:variant>
      <vt:variant>
        <vt:lpwstr/>
      </vt:variant>
      <vt:variant>
        <vt:lpwstr>_Toc380051921</vt:lpwstr>
      </vt:variant>
      <vt:variant>
        <vt:i4>1835071</vt:i4>
      </vt:variant>
      <vt:variant>
        <vt:i4>533</vt:i4>
      </vt:variant>
      <vt:variant>
        <vt:i4>0</vt:i4>
      </vt:variant>
      <vt:variant>
        <vt:i4>5</vt:i4>
      </vt:variant>
      <vt:variant>
        <vt:lpwstr/>
      </vt:variant>
      <vt:variant>
        <vt:lpwstr>_Toc380051920</vt:lpwstr>
      </vt:variant>
      <vt:variant>
        <vt:i4>2031679</vt:i4>
      </vt:variant>
      <vt:variant>
        <vt:i4>527</vt:i4>
      </vt:variant>
      <vt:variant>
        <vt:i4>0</vt:i4>
      </vt:variant>
      <vt:variant>
        <vt:i4>5</vt:i4>
      </vt:variant>
      <vt:variant>
        <vt:lpwstr/>
      </vt:variant>
      <vt:variant>
        <vt:lpwstr>_Toc380051919</vt:lpwstr>
      </vt:variant>
      <vt:variant>
        <vt:i4>2031679</vt:i4>
      </vt:variant>
      <vt:variant>
        <vt:i4>521</vt:i4>
      </vt:variant>
      <vt:variant>
        <vt:i4>0</vt:i4>
      </vt:variant>
      <vt:variant>
        <vt:i4>5</vt:i4>
      </vt:variant>
      <vt:variant>
        <vt:lpwstr/>
      </vt:variant>
      <vt:variant>
        <vt:lpwstr>_Toc380051918</vt:lpwstr>
      </vt:variant>
      <vt:variant>
        <vt:i4>2031679</vt:i4>
      </vt:variant>
      <vt:variant>
        <vt:i4>515</vt:i4>
      </vt:variant>
      <vt:variant>
        <vt:i4>0</vt:i4>
      </vt:variant>
      <vt:variant>
        <vt:i4>5</vt:i4>
      </vt:variant>
      <vt:variant>
        <vt:lpwstr/>
      </vt:variant>
      <vt:variant>
        <vt:lpwstr>_Toc380051917</vt:lpwstr>
      </vt:variant>
      <vt:variant>
        <vt:i4>2031679</vt:i4>
      </vt:variant>
      <vt:variant>
        <vt:i4>509</vt:i4>
      </vt:variant>
      <vt:variant>
        <vt:i4>0</vt:i4>
      </vt:variant>
      <vt:variant>
        <vt:i4>5</vt:i4>
      </vt:variant>
      <vt:variant>
        <vt:lpwstr/>
      </vt:variant>
      <vt:variant>
        <vt:lpwstr>_Toc380051916</vt:lpwstr>
      </vt:variant>
      <vt:variant>
        <vt:i4>2031679</vt:i4>
      </vt:variant>
      <vt:variant>
        <vt:i4>503</vt:i4>
      </vt:variant>
      <vt:variant>
        <vt:i4>0</vt:i4>
      </vt:variant>
      <vt:variant>
        <vt:i4>5</vt:i4>
      </vt:variant>
      <vt:variant>
        <vt:lpwstr/>
      </vt:variant>
      <vt:variant>
        <vt:lpwstr>_Toc380051915</vt:lpwstr>
      </vt:variant>
      <vt:variant>
        <vt:i4>2031679</vt:i4>
      </vt:variant>
      <vt:variant>
        <vt:i4>497</vt:i4>
      </vt:variant>
      <vt:variant>
        <vt:i4>0</vt:i4>
      </vt:variant>
      <vt:variant>
        <vt:i4>5</vt:i4>
      </vt:variant>
      <vt:variant>
        <vt:lpwstr/>
      </vt:variant>
      <vt:variant>
        <vt:lpwstr>_Toc380051914</vt:lpwstr>
      </vt:variant>
      <vt:variant>
        <vt:i4>2031679</vt:i4>
      </vt:variant>
      <vt:variant>
        <vt:i4>491</vt:i4>
      </vt:variant>
      <vt:variant>
        <vt:i4>0</vt:i4>
      </vt:variant>
      <vt:variant>
        <vt:i4>5</vt:i4>
      </vt:variant>
      <vt:variant>
        <vt:lpwstr/>
      </vt:variant>
      <vt:variant>
        <vt:lpwstr>_Toc380051913</vt:lpwstr>
      </vt:variant>
      <vt:variant>
        <vt:i4>2031679</vt:i4>
      </vt:variant>
      <vt:variant>
        <vt:i4>485</vt:i4>
      </vt:variant>
      <vt:variant>
        <vt:i4>0</vt:i4>
      </vt:variant>
      <vt:variant>
        <vt:i4>5</vt:i4>
      </vt:variant>
      <vt:variant>
        <vt:lpwstr/>
      </vt:variant>
      <vt:variant>
        <vt:lpwstr>_Toc380051912</vt:lpwstr>
      </vt:variant>
      <vt:variant>
        <vt:i4>1769534</vt:i4>
      </vt:variant>
      <vt:variant>
        <vt:i4>476</vt:i4>
      </vt:variant>
      <vt:variant>
        <vt:i4>0</vt:i4>
      </vt:variant>
      <vt:variant>
        <vt:i4>5</vt:i4>
      </vt:variant>
      <vt:variant>
        <vt:lpwstr/>
      </vt:variant>
      <vt:variant>
        <vt:lpwstr>_Toc380051856</vt:lpwstr>
      </vt:variant>
      <vt:variant>
        <vt:i4>1769534</vt:i4>
      </vt:variant>
      <vt:variant>
        <vt:i4>470</vt:i4>
      </vt:variant>
      <vt:variant>
        <vt:i4>0</vt:i4>
      </vt:variant>
      <vt:variant>
        <vt:i4>5</vt:i4>
      </vt:variant>
      <vt:variant>
        <vt:lpwstr/>
      </vt:variant>
      <vt:variant>
        <vt:lpwstr>_Toc380051855</vt:lpwstr>
      </vt:variant>
      <vt:variant>
        <vt:i4>1769534</vt:i4>
      </vt:variant>
      <vt:variant>
        <vt:i4>464</vt:i4>
      </vt:variant>
      <vt:variant>
        <vt:i4>0</vt:i4>
      </vt:variant>
      <vt:variant>
        <vt:i4>5</vt:i4>
      </vt:variant>
      <vt:variant>
        <vt:lpwstr/>
      </vt:variant>
      <vt:variant>
        <vt:lpwstr>_Toc380051854</vt:lpwstr>
      </vt:variant>
      <vt:variant>
        <vt:i4>1769534</vt:i4>
      </vt:variant>
      <vt:variant>
        <vt:i4>458</vt:i4>
      </vt:variant>
      <vt:variant>
        <vt:i4>0</vt:i4>
      </vt:variant>
      <vt:variant>
        <vt:i4>5</vt:i4>
      </vt:variant>
      <vt:variant>
        <vt:lpwstr/>
      </vt:variant>
      <vt:variant>
        <vt:lpwstr>_Toc380051853</vt:lpwstr>
      </vt:variant>
      <vt:variant>
        <vt:i4>1769534</vt:i4>
      </vt:variant>
      <vt:variant>
        <vt:i4>452</vt:i4>
      </vt:variant>
      <vt:variant>
        <vt:i4>0</vt:i4>
      </vt:variant>
      <vt:variant>
        <vt:i4>5</vt:i4>
      </vt:variant>
      <vt:variant>
        <vt:lpwstr/>
      </vt:variant>
      <vt:variant>
        <vt:lpwstr>_Toc380051852</vt:lpwstr>
      </vt:variant>
      <vt:variant>
        <vt:i4>1769534</vt:i4>
      </vt:variant>
      <vt:variant>
        <vt:i4>446</vt:i4>
      </vt:variant>
      <vt:variant>
        <vt:i4>0</vt:i4>
      </vt:variant>
      <vt:variant>
        <vt:i4>5</vt:i4>
      </vt:variant>
      <vt:variant>
        <vt:lpwstr/>
      </vt:variant>
      <vt:variant>
        <vt:lpwstr>_Toc380051851</vt:lpwstr>
      </vt:variant>
      <vt:variant>
        <vt:i4>1769534</vt:i4>
      </vt:variant>
      <vt:variant>
        <vt:i4>440</vt:i4>
      </vt:variant>
      <vt:variant>
        <vt:i4>0</vt:i4>
      </vt:variant>
      <vt:variant>
        <vt:i4>5</vt:i4>
      </vt:variant>
      <vt:variant>
        <vt:lpwstr/>
      </vt:variant>
      <vt:variant>
        <vt:lpwstr>_Toc380051850</vt:lpwstr>
      </vt:variant>
      <vt:variant>
        <vt:i4>1703998</vt:i4>
      </vt:variant>
      <vt:variant>
        <vt:i4>434</vt:i4>
      </vt:variant>
      <vt:variant>
        <vt:i4>0</vt:i4>
      </vt:variant>
      <vt:variant>
        <vt:i4>5</vt:i4>
      </vt:variant>
      <vt:variant>
        <vt:lpwstr/>
      </vt:variant>
      <vt:variant>
        <vt:lpwstr>_Toc380051849</vt:lpwstr>
      </vt:variant>
      <vt:variant>
        <vt:i4>1703998</vt:i4>
      </vt:variant>
      <vt:variant>
        <vt:i4>428</vt:i4>
      </vt:variant>
      <vt:variant>
        <vt:i4>0</vt:i4>
      </vt:variant>
      <vt:variant>
        <vt:i4>5</vt:i4>
      </vt:variant>
      <vt:variant>
        <vt:lpwstr/>
      </vt:variant>
      <vt:variant>
        <vt:lpwstr>_Toc380051848</vt:lpwstr>
      </vt:variant>
      <vt:variant>
        <vt:i4>1703998</vt:i4>
      </vt:variant>
      <vt:variant>
        <vt:i4>422</vt:i4>
      </vt:variant>
      <vt:variant>
        <vt:i4>0</vt:i4>
      </vt:variant>
      <vt:variant>
        <vt:i4>5</vt:i4>
      </vt:variant>
      <vt:variant>
        <vt:lpwstr/>
      </vt:variant>
      <vt:variant>
        <vt:lpwstr>_Toc380051847</vt:lpwstr>
      </vt:variant>
      <vt:variant>
        <vt:i4>1703998</vt:i4>
      </vt:variant>
      <vt:variant>
        <vt:i4>416</vt:i4>
      </vt:variant>
      <vt:variant>
        <vt:i4>0</vt:i4>
      </vt:variant>
      <vt:variant>
        <vt:i4>5</vt:i4>
      </vt:variant>
      <vt:variant>
        <vt:lpwstr/>
      </vt:variant>
      <vt:variant>
        <vt:lpwstr>_Toc380051846</vt:lpwstr>
      </vt:variant>
      <vt:variant>
        <vt:i4>1703998</vt:i4>
      </vt:variant>
      <vt:variant>
        <vt:i4>410</vt:i4>
      </vt:variant>
      <vt:variant>
        <vt:i4>0</vt:i4>
      </vt:variant>
      <vt:variant>
        <vt:i4>5</vt:i4>
      </vt:variant>
      <vt:variant>
        <vt:lpwstr/>
      </vt:variant>
      <vt:variant>
        <vt:lpwstr>_Toc380051845</vt:lpwstr>
      </vt:variant>
      <vt:variant>
        <vt:i4>1703998</vt:i4>
      </vt:variant>
      <vt:variant>
        <vt:i4>404</vt:i4>
      </vt:variant>
      <vt:variant>
        <vt:i4>0</vt:i4>
      </vt:variant>
      <vt:variant>
        <vt:i4>5</vt:i4>
      </vt:variant>
      <vt:variant>
        <vt:lpwstr/>
      </vt:variant>
      <vt:variant>
        <vt:lpwstr>_Toc380051844</vt:lpwstr>
      </vt:variant>
      <vt:variant>
        <vt:i4>1703998</vt:i4>
      </vt:variant>
      <vt:variant>
        <vt:i4>398</vt:i4>
      </vt:variant>
      <vt:variant>
        <vt:i4>0</vt:i4>
      </vt:variant>
      <vt:variant>
        <vt:i4>5</vt:i4>
      </vt:variant>
      <vt:variant>
        <vt:lpwstr/>
      </vt:variant>
      <vt:variant>
        <vt:lpwstr>_Toc380051843</vt:lpwstr>
      </vt:variant>
      <vt:variant>
        <vt:i4>1703998</vt:i4>
      </vt:variant>
      <vt:variant>
        <vt:i4>392</vt:i4>
      </vt:variant>
      <vt:variant>
        <vt:i4>0</vt:i4>
      </vt:variant>
      <vt:variant>
        <vt:i4>5</vt:i4>
      </vt:variant>
      <vt:variant>
        <vt:lpwstr/>
      </vt:variant>
      <vt:variant>
        <vt:lpwstr>_Toc380051842</vt:lpwstr>
      </vt:variant>
      <vt:variant>
        <vt:i4>1703998</vt:i4>
      </vt:variant>
      <vt:variant>
        <vt:i4>386</vt:i4>
      </vt:variant>
      <vt:variant>
        <vt:i4>0</vt:i4>
      </vt:variant>
      <vt:variant>
        <vt:i4>5</vt:i4>
      </vt:variant>
      <vt:variant>
        <vt:lpwstr/>
      </vt:variant>
      <vt:variant>
        <vt:lpwstr>_Toc380051841</vt:lpwstr>
      </vt:variant>
      <vt:variant>
        <vt:i4>1703998</vt:i4>
      </vt:variant>
      <vt:variant>
        <vt:i4>380</vt:i4>
      </vt:variant>
      <vt:variant>
        <vt:i4>0</vt:i4>
      </vt:variant>
      <vt:variant>
        <vt:i4>5</vt:i4>
      </vt:variant>
      <vt:variant>
        <vt:lpwstr/>
      </vt:variant>
      <vt:variant>
        <vt:lpwstr>_Toc380051840</vt:lpwstr>
      </vt:variant>
      <vt:variant>
        <vt:i4>1900606</vt:i4>
      </vt:variant>
      <vt:variant>
        <vt:i4>374</vt:i4>
      </vt:variant>
      <vt:variant>
        <vt:i4>0</vt:i4>
      </vt:variant>
      <vt:variant>
        <vt:i4>5</vt:i4>
      </vt:variant>
      <vt:variant>
        <vt:lpwstr/>
      </vt:variant>
      <vt:variant>
        <vt:lpwstr>_Toc380051839</vt:lpwstr>
      </vt:variant>
      <vt:variant>
        <vt:i4>1900606</vt:i4>
      </vt:variant>
      <vt:variant>
        <vt:i4>368</vt:i4>
      </vt:variant>
      <vt:variant>
        <vt:i4>0</vt:i4>
      </vt:variant>
      <vt:variant>
        <vt:i4>5</vt:i4>
      </vt:variant>
      <vt:variant>
        <vt:lpwstr/>
      </vt:variant>
      <vt:variant>
        <vt:lpwstr>_Toc380051838</vt:lpwstr>
      </vt:variant>
      <vt:variant>
        <vt:i4>1900606</vt:i4>
      </vt:variant>
      <vt:variant>
        <vt:i4>362</vt:i4>
      </vt:variant>
      <vt:variant>
        <vt:i4>0</vt:i4>
      </vt:variant>
      <vt:variant>
        <vt:i4>5</vt:i4>
      </vt:variant>
      <vt:variant>
        <vt:lpwstr/>
      </vt:variant>
      <vt:variant>
        <vt:lpwstr>_Toc380051837</vt:lpwstr>
      </vt:variant>
      <vt:variant>
        <vt:i4>1900606</vt:i4>
      </vt:variant>
      <vt:variant>
        <vt:i4>356</vt:i4>
      </vt:variant>
      <vt:variant>
        <vt:i4>0</vt:i4>
      </vt:variant>
      <vt:variant>
        <vt:i4>5</vt:i4>
      </vt:variant>
      <vt:variant>
        <vt:lpwstr/>
      </vt:variant>
      <vt:variant>
        <vt:lpwstr>_Toc380051836</vt:lpwstr>
      </vt:variant>
      <vt:variant>
        <vt:i4>1900606</vt:i4>
      </vt:variant>
      <vt:variant>
        <vt:i4>350</vt:i4>
      </vt:variant>
      <vt:variant>
        <vt:i4>0</vt:i4>
      </vt:variant>
      <vt:variant>
        <vt:i4>5</vt:i4>
      </vt:variant>
      <vt:variant>
        <vt:lpwstr/>
      </vt:variant>
      <vt:variant>
        <vt:lpwstr>_Toc380051835</vt:lpwstr>
      </vt:variant>
      <vt:variant>
        <vt:i4>1900606</vt:i4>
      </vt:variant>
      <vt:variant>
        <vt:i4>344</vt:i4>
      </vt:variant>
      <vt:variant>
        <vt:i4>0</vt:i4>
      </vt:variant>
      <vt:variant>
        <vt:i4>5</vt:i4>
      </vt:variant>
      <vt:variant>
        <vt:lpwstr/>
      </vt:variant>
      <vt:variant>
        <vt:lpwstr>_Toc380051834</vt:lpwstr>
      </vt:variant>
      <vt:variant>
        <vt:i4>1900606</vt:i4>
      </vt:variant>
      <vt:variant>
        <vt:i4>338</vt:i4>
      </vt:variant>
      <vt:variant>
        <vt:i4>0</vt:i4>
      </vt:variant>
      <vt:variant>
        <vt:i4>5</vt:i4>
      </vt:variant>
      <vt:variant>
        <vt:lpwstr/>
      </vt:variant>
      <vt:variant>
        <vt:lpwstr>_Toc380051833</vt:lpwstr>
      </vt:variant>
      <vt:variant>
        <vt:i4>1900606</vt:i4>
      </vt:variant>
      <vt:variant>
        <vt:i4>332</vt:i4>
      </vt:variant>
      <vt:variant>
        <vt:i4>0</vt:i4>
      </vt:variant>
      <vt:variant>
        <vt:i4>5</vt:i4>
      </vt:variant>
      <vt:variant>
        <vt:lpwstr/>
      </vt:variant>
      <vt:variant>
        <vt:lpwstr>_Toc380051832</vt:lpwstr>
      </vt:variant>
      <vt:variant>
        <vt:i4>1900606</vt:i4>
      </vt:variant>
      <vt:variant>
        <vt:i4>326</vt:i4>
      </vt:variant>
      <vt:variant>
        <vt:i4>0</vt:i4>
      </vt:variant>
      <vt:variant>
        <vt:i4>5</vt:i4>
      </vt:variant>
      <vt:variant>
        <vt:lpwstr/>
      </vt:variant>
      <vt:variant>
        <vt:lpwstr>_Toc380051831</vt:lpwstr>
      </vt:variant>
      <vt:variant>
        <vt:i4>1900606</vt:i4>
      </vt:variant>
      <vt:variant>
        <vt:i4>320</vt:i4>
      </vt:variant>
      <vt:variant>
        <vt:i4>0</vt:i4>
      </vt:variant>
      <vt:variant>
        <vt:i4>5</vt:i4>
      </vt:variant>
      <vt:variant>
        <vt:lpwstr/>
      </vt:variant>
      <vt:variant>
        <vt:lpwstr>_Toc380051830</vt:lpwstr>
      </vt:variant>
      <vt:variant>
        <vt:i4>1835070</vt:i4>
      </vt:variant>
      <vt:variant>
        <vt:i4>314</vt:i4>
      </vt:variant>
      <vt:variant>
        <vt:i4>0</vt:i4>
      </vt:variant>
      <vt:variant>
        <vt:i4>5</vt:i4>
      </vt:variant>
      <vt:variant>
        <vt:lpwstr/>
      </vt:variant>
      <vt:variant>
        <vt:lpwstr>_Toc380051829</vt:lpwstr>
      </vt:variant>
      <vt:variant>
        <vt:i4>1835070</vt:i4>
      </vt:variant>
      <vt:variant>
        <vt:i4>308</vt:i4>
      </vt:variant>
      <vt:variant>
        <vt:i4>0</vt:i4>
      </vt:variant>
      <vt:variant>
        <vt:i4>5</vt:i4>
      </vt:variant>
      <vt:variant>
        <vt:lpwstr/>
      </vt:variant>
      <vt:variant>
        <vt:lpwstr>_Toc380051828</vt:lpwstr>
      </vt:variant>
      <vt:variant>
        <vt:i4>1835070</vt:i4>
      </vt:variant>
      <vt:variant>
        <vt:i4>302</vt:i4>
      </vt:variant>
      <vt:variant>
        <vt:i4>0</vt:i4>
      </vt:variant>
      <vt:variant>
        <vt:i4>5</vt:i4>
      </vt:variant>
      <vt:variant>
        <vt:lpwstr/>
      </vt:variant>
      <vt:variant>
        <vt:lpwstr>_Toc380051827</vt:lpwstr>
      </vt:variant>
      <vt:variant>
        <vt:i4>1835070</vt:i4>
      </vt:variant>
      <vt:variant>
        <vt:i4>296</vt:i4>
      </vt:variant>
      <vt:variant>
        <vt:i4>0</vt:i4>
      </vt:variant>
      <vt:variant>
        <vt:i4>5</vt:i4>
      </vt:variant>
      <vt:variant>
        <vt:lpwstr/>
      </vt:variant>
      <vt:variant>
        <vt:lpwstr>_Toc380051826</vt:lpwstr>
      </vt:variant>
      <vt:variant>
        <vt:i4>1835070</vt:i4>
      </vt:variant>
      <vt:variant>
        <vt:i4>290</vt:i4>
      </vt:variant>
      <vt:variant>
        <vt:i4>0</vt:i4>
      </vt:variant>
      <vt:variant>
        <vt:i4>5</vt:i4>
      </vt:variant>
      <vt:variant>
        <vt:lpwstr/>
      </vt:variant>
      <vt:variant>
        <vt:lpwstr>_Toc380051825</vt:lpwstr>
      </vt:variant>
      <vt:variant>
        <vt:i4>1835070</vt:i4>
      </vt:variant>
      <vt:variant>
        <vt:i4>284</vt:i4>
      </vt:variant>
      <vt:variant>
        <vt:i4>0</vt:i4>
      </vt:variant>
      <vt:variant>
        <vt:i4>5</vt:i4>
      </vt:variant>
      <vt:variant>
        <vt:lpwstr/>
      </vt:variant>
      <vt:variant>
        <vt:lpwstr>_Toc380051824</vt:lpwstr>
      </vt:variant>
      <vt:variant>
        <vt:i4>1835070</vt:i4>
      </vt:variant>
      <vt:variant>
        <vt:i4>278</vt:i4>
      </vt:variant>
      <vt:variant>
        <vt:i4>0</vt:i4>
      </vt:variant>
      <vt:variant>
        <vt:i4>5</vt:i4>
      </vt:variant>
      <vt:variant>
        <vt:lpwstr/>
      </vt:variant>
      <vt:variant>
        <vt:lpwstr>_Toc380051823</vt:lpwstr>
      </vt:variant>
      <vt:variant>
        <vt:i4>1835070</vt:i4>
      </vt:variant>
      <vt:variant>
        <vt:i4>272</vt:i4>
      </vt:variant>
      <vt:variant>
        <vt:i4>0</vt:i4>
      </vt:variant>
      <vt:variant>
        <vt:i4>5</vt:i4>
      </vt:variant>
      <vt:variant>
        <vt:lpwstr/>
      </vt:variant>
      <vt:variant>
        <vt:lpwstr>_Toc380051822</vt:lpwstr>
      </vt:variant>
      <vt:variant>
        <vt:i4>1835070</vt:i4>
      </vt:variant>
      <vt:variant>
        <vt:i4>266</vt:i4>
      </vt:variant>
      <vt:variant>
        <vt:i4>0</vt:i4>
      </vt:variant>
      <vt:variant>
        <vt:i4>5</vt:i4>
      </vt:variant>
      <vt:variant>
        <vt:lpwstr/>
      </vt:variant>
      <vt:variant>
        <vt:lpwstr>_Toc380051821</vt:lpwstr>
      </vt:variant>
      <vt:variant>
        <vt:i4>1835070</vt:i4>
      </vt:variant>
      <vt:variant>
        <vt:i4>260</vt:i4>
      </vt:variant>
      <vt:variant>
        <vt:i4>0</vt:i4>
      </vt:variant>
      <vt:variant>
        <vt:i4>5</vt:i4>
      </vt:variant>
      <vt:variant>
        <vt:lpwstr/>
      </vt:variant>
      <vt:variant>
        <vt:lpwstr>_Toc380051820</vt:lpwstr>
      </vt:variant>
      <vt:variant>
        <vt:i4>2031678</vt:i4>
      </vt:variant>
      <vt:variant>
        <vt:i4>254</vt:i4>
      </vt:variant>
      <vt:variant>
        <vt:i4>0</vt:i4>
      </vt:variant>
      <vt:variant>
        <vt:i4>5</vt:i4>
      </vt:variant>
      <vt:variant>
        <vt:lpwstr/>
      </vt:variant>
      <vt:variant>
        <vt:lpwstr>_Toc380051819</vt:lpwstr>
      </vt:variant>
      <vt:variant>
        <vt:i4>2031678</vt:i4>
      </vt:variant>
      <vt:variant>
        <vt:i4>248</vt:i4>
      </vt:variant>
      <vt:variant>
        <vt:i4>0</vt:i4>
      </vt:variant>
      <vt:variant>
        <vt:i4>5</vt:i4>
      </vt:variant>
      <vt:variant>
        <vt:lpwstr/>
      </vt:variant>
      <vt:variant>
        <vt:lpwstr>_Toc380051818</vt:lpwstr>
      </vt:variant>
      <vt:variant>
        <vt:i4>2031678</vt:i4>
      </vt:variant>
      <vt:variant>
        <vt:i4>242</vt:i4>
      </vt:variant>
      <vt:variant>
        <vt:i4>0</vt:i4>
      </vt:variant>
      <vt:variant>
        <vt:i4>5</vt:i4>
      </vt:variant>
      <vt:variant>
        <vt:lpwstr/>
      </vt:variant>
      <vt:variant>
        <vt:lpwstr>_Toc380051817</vt:lpwstr>
      </vt:variant>
      <vt:variant>
        <vt:i4>2031678</vt:i4>
      </vt:variant>
      <vt:variant>
        <vt:i4>236</vt:i4>
      </vt:variant>
      <vt:variant>
        <vt:i4>0</vt:i4>
      </vt:variant>
      <vt:variant>
        <vt:i4>5</vt:i4>
      </vt:variant>
      <vt:variant>
        <vt:lpwstr/>
      </vt:variant>
      <vt:variant>
        <vt:lpwstr>_Toc380051816</vt:lpwstr>
      </vt:variant>
      <vt:variant>
        <vt:i4>2031678</vt:i4>
      </vt:variant>
      <vt:variant>
        <vt:i4>230</vt:i4>
      </vt:variant>
      <vt:variant>
        <vt:i4>0</vt:i4>
      </vt:variant>
      <vt:variant>
        <vt:i4>5</vt:i4>
      </vt:variant>
      <vt:variant>
        <vt:lpwstr/>
      </vt:variant>
      <vt:variant>
        <vt:lpwstr>_Toc380051815</vt:lpwstr>
      </vt:variant>
      <vt:variant>
        <vt:i4>2031678</vt:i4>
      </vt:variant>
      <vt:variant>
        <vt:i4>224</vt:i4>
      </vt:variant>
      <vt:variant>
        <vt:i4>0</vt:i4>
      </vt:variant>
      <vt:variant>
        <vt:i4>5</vt:i4>
      </vt:variant>
      <vt:variant>
        <vt:lpwstr/>
      </vt:variant>
      <vt:variant>
        <vt:lpwstr>_Toc380051814</vt:lpwstr>
      </vt:variant>
      <vt:variant>
        <vt:i4>2031678</vt:i4>
      </vt:variant>
      <vt:variant>
        <vt:i4>218</vt:i4>
      </vt:variant>
      <vt:variant>
        <vt:i4>0</vt:i4>
      </vt:variant>
      <vt:variant>
        <vt:i4>5</vt:i4>
      </vt:variant>
      <vt:variant>
        <vt:lpwstr/>
      </vt:variant>
      <vt:variant>
        <vt:lpwstr>_Toc380051813</vt:lpwstr>
      </vt:variant>
      <vt:variant>
        <vt:i4>2031678</vt:i4>
      </vt:variant>
      <vt:variant>
        <vt:i4>212</vt:i4>
      </vt:variant>
      <vt:variant>
        <vt:i4>0</vt:i4>
      </vt:variant>
      <vt:variant>
        <vt:i4>5</vt:i4>
      </vt:variant>
      <vt:variant>
        <vt:lpwstr/>
      </vt:variant>
      <vt:variant>
        <vt:lpwstr>_Toc380051812</vt:lpwstr>
      </vt:variant>
      <vt:variant>
        <vt:i4>2031678</vt:i4>
      </vt:variant>
      <vt:variant>
        <vt:i4>206</vt:i4>
      </vt:variant>
      <vt:variant>
        <vt:i4>0</vt:i4>
      </vt:variant>
      <vt:variant>
        <vt:i4>5</vt:i4>
      </vt:variant>
      <vt:variant>
        <vt:lpwstr/>
      </vt:variant>
      <vt:variant>
        <vt:lpwstr>_Toc380051811</vt:lpwstr>
      </vt:variant>
      <vt:variant>
        <vt:i4>2031678</vt:i4>
      </vt:variant>
      <vt:variant>
        <vt:i4>200</vt:i4>
      </vt:variant>
      <vt:variant>
        <vt:i4>0</vt:i4>
      </vt:variant>
      <vt:variant>
        <vt:i4>5</vt:i4>
      </vt:variant>
      <vt:variant>
        <vt:lpwstr/>
      </vt:variant>
      <vt:variant>
        <vt:lpwstr>_Toc380051810</vt:lpwstr>
      </vt:variant>
      <vt:variant>
        <vt:i4>1966142</vt:i4>
      </vt:variant>
      <vt:variant>
        <vt:i4>194</vt:i4>
      </vt:variant>
      <vt:variant>
        <vt:i4>0</vt:i4>
      </vt:variant>
      <vt:variant>
        <vt:i4>5</vt:i4>
      </vt:variant>
      <vt:variant>
        <vt:lpwstr/>
      </vt:variant>
      <vt:variant>
        <vt:lpwstr>_Toc380051809</vt:lpwstr>
      </vt:variant>
      <vt:variant>
        <vt:i4>1966142</vt:i4>
      </vt:variant>
      <vt:variant>
        <vt:i4>188</vt:i4>
      </vt:variant>
      <vt:variant>
        <vt:i4>0</vt:i4>
      </vt:variant>
      <vt:variant>
        <vt:i4>5</vt:i4>
      </vt:variant>
      <vt:variant>
        <vt:lpwstr/>
      </vt:variant>
      <vt:variant>
        <vt:lpwstr>_Toc380051808</vt:lpwstr>
      </vt:variant>
      <vt:variant>
        <vt:i4>1966142</vt:i4>
      </vt:variant>
      <vt:variant>
        <vt:i4>182</vt:i4>
      </vt:variant>
      <vt:variant>
        <vt:i4>0</vt:i4>
      </vt:variant>
      <vt:variant>
        <vt:i4>5</vt:i4>
      </vt:variant>
      <vt:variant>
        <vt:lpwstr/>
      </vt:variant>
      <vt:variant>
        <vt:lpwstr>_Toc380051807</vt:lpwstr>
      </vt:variant>
      <vt:variant>
        <vt:i4>1966142</vt:i4>
      </vt:variant>
      <vt:variant>
        <vt:i4>176</vt:i4>
      </vt:variant>
      <vt:variant>
        <vt:i4>0</vt:i4>
      </vt:variant>
      <vt:variant>
        <vt:i4>5</vt:i4>
      </vt:variant>
      <vt:variant>
        <vt:lpwstr/>
      </vt:variant>
      <vt:variant>
        <vt:lpwstr>_Toc380051806</vt:lpwstr>
      </vt:variant>
      <vt:variant>
        <vt:i4>1966142</vt:i4>
      </vt:variant>
      <vt:variant>
        <vt:i4>170</vt:i4>
      </vt:variant>
      <vt:variant>
        <vt:i4>0</vt:i4>
      </vt:variant>
      <vt:variant>
        <vt:i4>5</vt:i4>
      </vt:variant>
      <vt:variant>
        <vt:lpwstr/>
      </vt:variant>
      <vt:variant>
        <vt:lpwstr>_Toc380051805</vt:lpwstr>
      </vt:variant>
      <vt:variant>
        <vt:i4>1966142</vt:i4>
      </vt:variant>
      <vt:variant>
        <vt:i4>164</vt:i4>
      </vt:variant>
      <vt:variant>
        <vt:i4>0</vt:i4>
      </vt:variant>
      <vt:variant>
        <vt:i4>5</vt:i4>
      </vt:variant>
      <vt:variant>
        <vt:lpwstr/>
      </vt:variant>
      <vt:variant>
        <vt:lpwstr>_Toc380051804</vt:lpwstr>
      </vt:variant>
      <vt:variant>
        <vt:i4>1966142</vt:i4>
      </vt:variant>
      <vt:variant>
        <vt:i4>158</vt:i4>
      </vt:variant>
      <vt:variant>
        <vt:i4>0</vt:i4>
      </vt:variant>
      <vt:variant>
        <vt:i4>5</vt:i4>
      </vt:variant>
      <vt:variant>
        <vt:lpwstr/>
      </vt:variant>
      <vt:variant>
        <vt:lpwstr>_Toc380051803</vt:lpwstr>
      </vt:variant>
      <vt:variant>
        <vt:i4>1966142</vt:i4>
      </vt:variant>
      <vt:variant>
        <vt:i4>152</vt:i4>
      </vt:variant>
      <vt:variant>
        <vt:i4>0</vt:i4>
      </vt:variant>
      <vt:variant>
        <vt:i4>5</vt:i4>
      </vt:variant>
      <vt:variant>
        <vt:lpwstr/>
      </vt:variant>
      <vt:variant>
        <vt:lpwstr>_Toc380051802</vt:lpwstr>
      </vt:variant>
      <vt:variant>
        <vt:i4>1966142</vt:i4>
      </vt:variant>
      <vt:variant>
        <vt:i4>146</vt:i4>
      </vt:variant>
      <vt:variant>
        <vt:i4>0</vt:i4>
      </vt:variant>
      <vt:variant>
        <vt:i4>5</vt:i4>
      </vt:variant>
      <vt:variant>
        <vt:lpwstr/>
      </vt:variant>
      <vt:variant>
        <vt:lpwstr>_Toc380051801</vt:lpwstr>
      </vt:variant>
      <vt:variant>
        <vt:i4>1966142</vt:i4>
      </vt:variant>
      <vt:variant>
        <vt:i4>140</vt:i4>
      </vt:variant>
      <vt:variant>
        <vt:i4>0</vt:i4>
      </vt:variant>
      <vt:variant>
        <vt:i4>5</vt:i4>
      </vt:variant>
      <vt:variant>
        <vt:lpwstr/>
      </vt:variant>
      <vt:variant>
        <vt:lpwstr>_Toc380051800</vt:lpwstr>
      </vt:variant>
      <vt:variant>
        <vt:i4>1507377</vt:i4>
      </vt:variant>
      <vt:variant>
        <vt:i4>134</vt:i4>
      </vt:variant>
      <vt:variant>
        <vt:i4>0</vt:i4>
      </vt:variant>
      <vt:variant>
        <vt:i4>5</vt:i4>
      </vt:variant>
      <vt:variant>
        <vt:lpwstr/>
      </vt:variant>
      <vt:variant>
        <vt:lpwstr>_Toc380051799</vt:lpwstr>
      </vt:variant>
      <vt:variant>
        <vt:i4>1507377</vt:i4>
      </vt:variant>
      <vt:variant>
        <vt:i4>128</vt:i4>
      </vt:variant>
      <vt:variant>
        <vt:i4>0</vt:i4>
      </vt:variant>
      <vt:variant>
        <vt:i4>5</vt:i4>
      </vt:variant>
      <vt:variant>
        <vt:lpwstr/>
      </vt:variant>
      <vt:variant>
        <vt:lpwstr>_Toc380051798</vt:lpwstr>
      </vt:variant>
      <vt:variant>
        <vt:i4>1507377</vt:i4>
      </vt:variant>
      <vt:variant>
        <vt:i4>122</vt:i4>
      </vt:variant>
      <vt:variant>
        <vt:i4>0</vt:i4>
      </vt:variant>
      <vt:variant>
        <vt:i4>5</vt:i4>
      </vt:variant>
      <vt:variant>
        <vt:lpwstr/>
      </vt:variant>
      <vt:variant>
        <vt:lpwstr>_Toc380051797</vt:lpwstr>
      </vt:variant>
      <vt:variant>
        <vt:i4>1507377</vt:i4>
      </vt:variant>
      <vt:variant>
        <vt:i4>116</vt:i4>
      </vt:variant>
      <vt:variant>
        <vt:i4>0</vt:i4>
      </vt:variant>
      <vt:variant>
        <vt:i4>5</vt:i4>
      </vt:variant>
      <vt:variant>
        <vt:lpwstr/>
      </vt:variant>
      <vt:variant>
        <vt:lpwstr>_Toc380051796</vt:lpwstr>
      </vt:variant>
      <vt:variant>
        <vt:i4>1507377</vt:i4>
      </vt:variant>
      <vt:variant>
        <vt:i4>110</vt:i4>
      </vt:variant>
      <vt:variant>
        <vt:i4>0</vt:i4>
      </vt:variant>
      <vt:variant>
        <vt:i4>5</vt:i4>
      </vt:variant>
      <vt:variant>
        <vt:lpwstr/>
      </vt:variant>
      <vt:variant>
        <vt:lpwstr>_Toc380051795</vt:lpwstr>
      </vt:variant>
      <vt:variant>
        <vt:i4>1507377</vt:i4>
      </vt:variant>
      <vt:variant>
        <vt:i4>104</vt:i4>
      </vt:variant>
      <vt:variant>
        <vt:i4>0</vt:i4>
      </vt:variant>
      <vt:variant>
        <vt:i4>5</vt:i4>
      </vt:variant>
      <vt:variant>
        <vt:lpwstr/>
      </vt:variant>
      <vt:variant>
        <vt:lpwstr>_Toc380051794</vt:lpwstr>
      </vt:variant>
      <vt:variant>
        <vt:i4>1507377</vt:i4>
      </vt:variant>
      <vt:variant>
        <vt:i4>98</vt:i4>
      </vt:variant>
      <vt:variant>
        <vt:i4>0</vt:i4>
      </vt:variant>
      <vt:variant>
        <vt:i4>5</vt:i4>
      </vt:variant>
      <vt:variant>
        <vt:lpwstr/>
      </vt:variant>
      <vt:variant>
        <vt:lpwstr>_Toc380051793</vt:lpwstr>
      </vt:variant>
      <vt:variant>
        <vt:i4>1507377</vt:i4>
      </vt:variant>
      <vt:variant>
        <vt:i4>92</vt:i4>
      </vt:variant>
      <vt:variant>
        <vt:i4>0</vt:i4>
      </vt:variant>
      <vt:variant>
        <vt:i4>5</vt:i4>
      </vt:variant>
      <vt:variant>
        <vt:lpwstr/>
      </vt:variant>
      <vt:variant>
        <vt:lpwstr>_Toc380051792</vt:lpwstr>
      </vt:variant>
      <vt:variant>
        <vt:i4>1507377</vt:i4>
      </vt:variant>
      <vt:variant>
        <vt:i4>86</vt:i4>
      </vt:variant>
      <vt:variant>
        <vt:i4>0</vt:i4>
      </vt:variant>
      <vt:variant>
        <vt:i4>5</vt:i4>
      </vt:variant>
      <vt:variant>
        <vt:lpwstr/>
      </vt:variant>
      <vt:variant>
        <vt:lpwstr>_Toc380051791</vt:lpwstr>
      </vt:variant>
      <vt:variant>
        <vt:i4>1507377</vt:i4>
      </vt:variant>
      <vt:variant>
        <vt:i4>80</vt:i4>
      </vt:variant>
      <vt:variant>
        <vt:i4>0</vt:i4>
      </vt:variant>
      <vt:variant>
        <vt:i4>5</vt:i4>
      </vt:variant>
      <vt:variant>
        <vt:lpwstr/>
      </vt:variant>
      <vt:variant>
        <vt:lpwstr>_Toc380051790</vt:lpwstr>
      </vt:variant>
      <vt:variant>
        <vt:i4>1441841</vt:i4>
      </vt:variant>
      <vt:variant>
        <vt:i4>74</vt:i4>
      </vt:variant>
      <vt:variant>
        <vt:i4>0</vt:i4>
      </vt:variant>
      <vt:variant>
        <vt:i4>5</vt:i4>
      </vt:variant>
      <vt:variant>
        <vt:lpwstr/>
      </vt:variant>
      <vt:variant>
        <vt:lpwstr>_Toc380051789</vt:lpwstr>
      </vt:variant>
      <vt:variant>
        <vt:i4>1441841</vt:i4>
      </vt:variant>
      <vt:variant>
        <vt:i4>68</vt:i4>
      </vt:variant>
      <vt:variant>
        <vt:i4>0</vt:i4>
      </vt:variant>
      <vt:variant>
        <vt:i4>5</vt:i4>
      </vt:variant>
      <vt:variant>
        <vt:lpwstr/>
      </vt:variant>
      <vt:variant>
        <vt:lpwstr>_Toc380051788</vt:lpwstr>
      </vt:variant>
      <vt:variant>
        <vt:i4>1441841</vt:i4>
      </vt:variant>
      <vt:variant>
        <vt:i4>62</vt:i4>
      </vt:variant>
      <vt:variant>
        <vt:i4>0</vt:i4>
      </vt:variant>
      <vt:variant>
        <vt:i4>5</vt:i4>
      </vt:variant>
      <vt:variant>
        <vt:lpwstr/>
      </vt:variant>
      <vt:variant>
        <vt:lpwstr>_Toc380051787</vt:lpwstr>
      </vt:variant>
      <vt:variant>
        <vt:i4>1441841</vt:i4>
      </vt:variant>
      <vt:variant>
        <vt:i4>56</vt:i4>
      </vt:variant>
      <vt:variant>
        <vt:i4>0</vt:i4>
      </vt:variant>
      <vt:variant>
        <vt:i4>5</vt:i4>
      </vt:variant>
      <vt:variant>
        <vt:lpwstr/>
      </vt:variant>
      <vt:variant>
        <vt:lpwstr>_Toc380051786</vt:lpwstr>
      </vt:variant>
      <vt:variant>
        <vt:i4>1441841</vt:i4>
      </vt:variant>
      <vt:variant>
        <vt:i4>50</vt:i4>
      </vt:variant>
      <vt:variant>
        <vt:i4>0</vt:i4>
      </vt:variant>
      <vt:variant>
        <vt:i4>5</vt:i4>
      </vt:variant>
      <vt:variant>
        <vt:lpwstr/>
      </vt:variant>
      <vt:variant>
        <vt:lpwstr>_Toc380051785</vt:lpwstr>
      </vt:variant>
      <vt:variant>
        <vt:i4>1441841</vt:i4>
      </vt:variant>
      <vt:variant>
        <vt:i4>44</vt:i4>
      </vt:variant>
      <vt:variant>
        <vt:i4>0</vt:i4>
      </vt:variant>
      <vt:variant>
        <vt:i4>5</vt:i4>
      </vt:variant>
      <vt:variant>
        <vt:lpwstr/>
      </vt:variant>
      <vt:variant>
        <vt:lpwstr>_Toc380051784</vt:lpwstr>
      </vt:variant>
      <vt:variant>
        <vt:i4>1441841</vt:i4>
      </vt:variant>
      <vt:variant>
        <vt:i4>38</vt:i4>
      </vt:variant>
      <vt:variant>
        <vt:i4>0</vt:i4>
      </vt:variant>
      <vt:variant>
        <vt:i4>5</vt:i4>
      </vt:variant>
      <vt:variant>
        <vt:lpwstr/>
      </vt:variant>
      <vt:variant>
        <vt:lpwstr>_Toc380051783</vt:lpwstr>
      </vt:variant>
      <vt:variant>
        <vt:i4>1441841</vt:i4>
      </vt:variant>
      <vt:variant>
        <vt:i4>32</vt:i4>
      </vt:variant>
      <vt:variant>
        <vt:i4>0</vt:i4>
      </vt:variant>
      <vt:variant>
        <vt:i4>5</vt:i4>
      </vt:variant>
      <vt:variant>
        <vt:lpwstr/>
      </vt:variant>
      <vt:variant>
        <vt:lpwstr>_Toc380051782</vt:lpwstr>
      </vt:variant>
      <vt:variant>
        <vt:i4>1441841</vt:i4>
      </vt:variant>
      <vt:variant>
        <vt:i4>26</vt:i4>
      </vt:variant>
      <vt:variant>
        <vt:i4>0</vt:i4>
      </vt:variant>
      <vt:variant>
        <vt:i4>5</vt:i4>
      </vt:variant>
      <vt:variant>
        <vt:lpwstr/>
      </vt:variant>
      <vt:variant>
        <vt:lpwstr>_Toc380051781</vt:lpwstr>
      </vt:variant>
      <vt:variant>
        <vt:i4>1441841</vt:i4>
      </vt:variant>
      <vt:variant>
        <vt:i4>20</vt:i4>
      </vt:variant>
      <vt:variant>
        <vt:i4>0</vt:i4>
      </vt:variant>
      <vt:variant>
        <vt:i4>5</vt:i4>
      </vt:variant>
      <vt:variant>
        <vt:lpwstr/>
      </vt:variant>
      <vt:variant>
        <vt:lpwstr>_Toc380051780</vt:lpwstr>
      </vt:variant>
      <vt:variant>
        <vt:i4>1638449</vt:i4>
      </vt:variant>
      <vt:variant>
        <vt:i4>14</vt:i4>
      </vt:variant>
      <vt:variant>
        <vt:i4>0</vt:i4>
      </vt:variant>
      <vt:variant>
        <vt:i4>5</vt:i4>
      </vt:variant>
      <vt:variant>
        <vt:lpwstr/>
      </vt:variant>
      <vt:variant>
        <vt:lpwstr>_Toc380051779</vt:lpwstr>
      </vt:variant>
      <vt:variant>
        <vt:i4>1638449</vt:i4>
      </vt:variant>
      <vt:variant>
        <vt:i4>8</vt:i4>
      </vt:variant>
      <vt:variant>
        <vt:i4>0</vt:i4>
      </vt:variant>
      <vt:variant>
        <vt:i4>5</vt:i4>
      </vt:variant>
      <vt:variant>
        <vt:lpwstr/>
      </vt:variant>
      <vt:variant>
        <vt:lpwstr>_Toc380051778</vt:lpwstr>
      </vt:variant>
      <vt:variant>
        <vt:i4>1638449</vt:i4>
      </vt:variant>
      <vt:variant>
        <vt:i4>2</vt:i4>
      </vt:variant>
      <vt:variant>
        <vt:i4>0</vt:i4>
      </vt:variant>
      <vt:variant>
        <vt:i4>5</vt:i4>
      </vt:variant>
      <vt:variant>
        <vt:lpwstr/>
      </vt:variant>
      <vt:variant>
        <vt:lpwstr>_Toc380051777</vt:lpwstr>
      </vt:variant>
      <vt:variant>
        <vt:i4>4325417</vt:i4>
      </vt:variant>
      <vt:variant>
        <vt:i4>0</vt:i4>
      </vt:variant>
      <vt:variant>
        <vt:i4>0</vt:i4>
      </vt:variant>
      <vt:variant>
        <vt:i4>5</vt:i4>
      </vt:variant>
      <vt:variant>
        <vt:lpwstr>http://en.wikipedia.org/wiki/Heat_index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Hansen</dc:creator>
  <cp:lastModifiedBy>Daniel Hansen</cp:lastModifiedBy>
  <cp:revision>4</cp:revision>
  <cp:lastPrinted>2015-03-08T17:33:00Z</cp:lastPrinted>
  <dcterms:created xsi:type="dcterms:W3CDTF">2015-04-02T23:06:00Z</dcterms:created>
  <dcterms:modified xsi:type="dcterms:W3CDTF">2015-04-02T23:15:00Z</dcterms:modified>
</cp:coreProperties>
</file>